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0A1B96D">
      <w:pPr>
        <w:spacing w:line="580" w:lineRule="exact"/>
        <w:jc w:val="center"/>
        <w:rPr>
          <w:rFonts w:ascii="宋体" w:hAnsi="宋体"/>
          <w:w w:val="95"/>
          <w:sz w:val="32"/>
          <w:szCs w:val="32"/>
        </w:rPr>
      </w:pPr>
    </w:p>
    <w:p w14:paraId="68413455">
      <w:pPr>
        <w:spacing w:line="580" w:lineRule="exact"/>
        <w:jc w:val="center"/>
        <w:rPr>
          <w:rFonts w:ascii="宋体" w:hAnsi="宋体"/>
          <w:w w:val="95"/>
          <w:sz w:val="32"/>
          <w:szCs w:val="32"/>
        </w:rPr>
      </w:pPr>
    </w:p>
    <w:p w14:paraId="0C0DC9E8">
      <w:pPr>
        <w:spacing w:line="580" w:lineRule="exact"/>
        <w:jc w:val="center"/>
        <w:rPr>
          <w:rFonts w:ascii="宋体" w:hAnsi="宋体"/>
          <w:w w:val="95"/>
          <w:sz w:val="32"/>
          <w:szCs w:val="32"/>
        </w:rPr>
      </w:pPr>
    </w:p>
    <w:p w14:paraId="3B5F8C9C">
      <w:pPr>
        <w:spacing w:line="580" w:lineRule="exact"/>
        <w:jc w:val="center"/>
        <w:rPr>
          <w:rFonts w:ascii="宋体" w:hAnsi="宋体"/>
          <w:w w:val="95"/>
          <w:sz w:val="32"/>
          <w:szCs w:val="32"/>
        </w:rPr>
      </w:pPr>
    </w:p>
    <w:p w14:paraId="39514724">
      <w:pPr>
        <w:spacing w:line="580" w:lineRule="exact"/>
        <w:jc w:val="center"/>
        <w:rPr>
          <w:rFonts w:ascii="宋体" w:hAnsi="宋体"/>
          <w:w w:val="95"/>
          <w:sz w:val="32"/>
          <w:szCs w:val="32"/>
        </w:rPr>
      </w:pPr>
    </w:p>
    <w:p w14:paraId="65CB8266">
      <w:pPr>
        <w:spacing w:line="580" w:lineRule="exact"/>
        <w:jc w:val="center"/>
        <w:rPr>
          <w:rFonts w:ascii="宋体" w:hAnsi="宋体"/>
          <w:w w:val="95"/>
          <w:sz w:val="32"/>
          <w:szCs w:val="32"/>
        </w:rPr>
      </w:pPr>
    </w:p>
    <w:p w14:paraId="7313BCE2">
      <w:pPr>
        <w:spacing w:line="580" w:lineRule="exact"/>
        <w:jc w:val="center"/>
        <w:rPr>
          <w:rFonts w:ascii="宋体" w:hAnsi="宋体"/>
          <w:w w:val="95"/>
          <w:sz w:val="32"/>
          <w:szCs w:val="32"/>
        </w:rPr>
      </w:pPr>
    </w:p>
    <w:p w14:paraId="2ACB66F9">
      <w:pPr>
        <w:spacing w:line="580" w:lineRule="exact"/>
        <w:jc w:val="center"/>
        <w:rPr>
          <w:rFonts w:ascii="宋体" w:hAnsi="宋体"/>
          <w:w w:val="95"/>
          <w:sz w:val="32"/>
          <w:szCs w:val="32"/>
        </w:rPr>
      </w:pPr>
    </w:p>
    <w:p w14:paraId="09562C9C">
      <w:pPr>
        <w:spacing w:line="240" w:lineRule="auto"/>
        <w:jc w:val="center"/>
        <w:rPr>
          <w:rFonts w:ascii="仿宋_GB2312" w:hAnsi="仿宋_GB2312" w:eastAsia="仿宋_GB2312" w:cs="仿宋_GB2312"/>
          <w:b/>
          <w:color w:val="000000"/>
          <w:sz w:val="44"/>
          <w:szCs w:val="44"/>
        </w:rPr>
      </w:pPr>
      <w:r>
        <w:rPr>
          <w:rFonts w:hint="eastAsia" w:ascii="仿宋_GB2312" w:hAnsi="仿宋_GB2312" w:eastAsia="仿宋_GB2312" w:cs="仿宋_GB2312"/>
          <w:b/>
          <w:color w:val="000000"/>
          <w:sz w:val="44"/>
          <w:szCs w:val="44"/>
        </w:rPr>
        <w:t>中新天津生态城发展和改革局</w:t>
      </w:r>
    </w:p>
    <w:p w14:paraId="7F731994">
      <w:pPr>
        <w:spacing w:line="240" w:lineRule="auto"/>
        <w:jc w:val="center"/>
        <w:rPr>
          <w:rFonts w:ascii="仿宋_GB2312" w:hAnsi="仿宋_GB2312" w:eastAsia="仿宋_GB2312" w:cs="仿宋_GB2312"/>
          <w:b/>
          <w:sz w:val="44"/>
          <w:szCs w:val="44"/>
        </w:rPr>
      </w:pPr>
      <w:r>
        <w:rPr>
          <w:rFonts w:hint="eastAsia" w:ascii="仿宋_GB2312" w:hAnsi="仿宋_GB2312" w:eastAsia="仿宋_GB2312" w:cs="仿宋_GB2312"/>
          <w:b/>
          <w:color w:val="000000"/>
          <w:sz w:val="44"/>
          <w:szCs w:val="44"/>
        </w:rPr>
        <w:t>2</w:t>
      </w:r>
      <w:r>
        <w:rPr>
          <w:rFonts w:hint="eastAsia" w:ascii="仿宋_GB2312" w:hAnsi="仿宋_GB2312" w:eastAsia="仿宋_GB2312" w:cs="仿宋_GB2312"/>
          <w:b/>
          <w:sz w:val="44"/>
          <w:szCs w:val="44"/>
        </w:rPr>
        <w:t>025年部门预算</w:t>
      </w:r>
    </w:p>
    <w:p w14:paraId="49B9EADE">
      <w:pPr>
        <w:spacing w:line="240" w:lineRule="auto"/>
        <w:jc w:val="center"/>
        <w:rPr>
          <w:rFonts w:ascii="仿宋_GB2312" w:hAnsi="仿宋_GB2312" w:eastAsia="仿宋_GB2312" w:cs="仿宋_GB2312"/>
          <w:b/>
          <w:w w:val="95"/>
          <w:sz w:val="44"/>
          <w:szCs w:val="44"/>
        </w:rPr>
      </w:pPr>
    </w:p>
    <w:p w14:paraId="7052CBB0">
      <w:pPr>
        <w:spacing w:line="580" w:lineRule="exact"/>
        <w:jc w:val="center"/>
        <w:rPr>
          <w:rFonts w:ascii="仿宋_GB2312" w:hAnsi="仿宋_GB2312" w:eastAsia="仿宋_GB2312" w:cs="仿宋_GB2312"/>
          <w:color w:val="FF0000"/>
          <w:sz w:val="28"/>
          <w:szCs w:val="28"/>
        </w:rPr>
      </w:pPr>
    </w:p>
    <w:p w14:paraId="0DDC2619">
      <w:pPr>
        <w:spacing w:line="580" w:lineRule="exact"/>
        <w:jc w:val="center"/>
        <w:rPr>
          <w:rFonts w:ascii="仿宋_GB2312" w:hAnsi="仿宋_GB2312" w:eastAsia="仿宋_GB2312" w:cs="仿宋_GB2312"/>
          <w:color w:val="FF0000"/>
          <w:sz w:val="28"/>
          <w:szCs w:val="28"/>
        </w:rPr>
      </w:pPr>
    </w:p>
    <w:p w14:paraId="34DC27DC">
      <w:pPr>
        <w:spacing w:line="580" w:lineRule="exact"/>
        <w:jc w:val="center"/>
        <w:rPr>
          <w:rFonts w:ascii="仿宋_GB2312" w:hAnsi="仿宋_GB2312" w:eastAsia="仿宋_GB2312" w:cs="仿宋_GB2312"/>
          <w:color w:val="FF0000"/>
          <w:sz w:val="28"/>
          <w:szCs w:val="28"/>
        </w:rPr>
      </w:pPr>
    </w:p>
    <w:p w14:paraId="689D2D20">
      <w:pPr>
        <w:spacing w:line="580" w:lineRule="exact"/>
        <w:jc w:val="center"/>
        <w:rPr>
          <w:rFonts w:ascii="仿宋_GB2312" w:hAnsi="仿宋_GB2312" w:eastAsia="仿宋_GB2312" w:cs="仿宋_GB2312"/>
          <w:color w:val="FF0000"/>
          <w:sz w:val="28"/>
          <w:szCs w:val="28"/>
        </w:rPr>
      </w:pPr>
    </w:p>
    <w:p w14:paraId="114AE999">
      <w:pPr>
        <w:spacing w:line="580" w:lineRule="exact"/>
        <w:jc w:val="center"/>
        <w:rPr>
          <w:rFonts w:ascii="仿宋_GB2312" w:hAnsi="仿宋_GB2312" w:eastAsia="仿宋_GB2312" w:cs="仿宋_GB2312"/>
          <w:color w:val="FF0000"/>
          <w:sz w:val="28"/>
          <w:szCs w:val="28"/>
        </w:rPr>
      </w:pPr>
    </w:p>
    <w:p w14:paraId="2971B3D4">
      <w:pPr>
        <w:spacing w:line="580" w:lineRule="exact"/>
        <w:jc w:val="center"/>
        <w:rPr>
          <w:rFonts w:ascii="仿宋_GB2312" w:hAnsi="仿宋_GB2312" w:eastAsia="仿宋_GB2312" w:cs="仿宋_GB2312"/>
          <w:color w:val="FF0000"/>
          <w:sz w:val="28"/>
          <w:szCs w:val="28"/>
        </w:rPr>
      </w:pPr>
    </w:p>
    <w:p w14:paraId="4B016369">
      <w:pPr>
        <w:spacing w:line="580" w:lineRule="exact"/>
        <w:jc w:val="center"/>
        <w:rPr>
          <w:rFonts w:ascii="仿宋_GB2312" w:hAnsi="仿宋_GB2312" w:eastAsia="仿宋_GB2312" w:cs="仿宋_GB2312"/>
          <w:color w:val="FF0000"/>
          <w:sz w:val="28"/>
          <w:szCs w:val="28"/>
        </w:rPr>
      </w:pPr>
    </w:p>
    <w:p w14:paraId="234A7052">
      <w:pPr>
        <w:spacing w:line="580" w:lineRule="exact"/>
        <w:jc w:val="center"/>
        <w:rPr>
          <w:rFonts w:ascii="仿宋_GB2312" w:hAnsi="仿宋_GB2312" w:eastAsia="仿宋_GB2312" w:cs="仿宋_GB2312"/>
          <w:color w:val="FF0000"/>
          <w:sz w:val="28"/>
          <w:szCs w:val="28"/>
        </w:rPr>
      </w:pPr>
    </w:p>
    <w:p w14:paraId="4D5EE81F">
      <w:pPr>
        <w:spacing w:line="580" w:lineRule="exact"/>
        <w:jc w:val="center"/>
        <w:rPr>
          <w:rFonts w:ascii="仿宋_GB2312" w:hAnsi="仿宋_GB2312" w:eastAsia="仿宋_GB2312" w:cs="仿宋_GB2312"/>
          <w:b/>
          <w:bCs/>
          <w:color w:val="FF0000"/>
          <w:sz w:val="28"/>
          <w:szCs w:val="28"/>
        </w:rPr>
      </w:pPr>
    </w:p>
    <w:p w14:paraId="13D3A472">
      <w:pPr>
        <w:spacing w:line="580" w:lineRule="exact"/>
        <w:jc w:val="center"/>
        <w:rPr>
          <w:rFonts w:ascii="宋体" w:hAnsi="宋体"/>
          <w:sz w:val="32"/>
          <w:szCs w:val="32"/>
        </w:rPr>
      </w:pPr>
    </w:p>
    <w:p w14:paraId="68D14599">
      <w:pPr>
        <w:spacing w:line="580" w:lineRule="exact"/>
        <w:jc w:val="center"/>
        <w:rPr>
          <w:rFonts w:ascii="宋体" w:hAnsi="宋体"/>
          <w:sz w:val="32"/>
          <w:szCs w:val="32"/>
        </w:rPr>
      </w:pPr>
    </w:p>
    <w:p w14:paraId="14CE2BB4">
      <w:pPr>
        <w:spacing w:line="580" w:lineRule="exact"/>
        <w:jc w:val="center"/>
        <w:rPr>
          <w:rFonts w:ascii="宋体" w:hAnsi="宋体"/>
          <w:sz w:val="32"/>
          <w:szCs w:val="32"/>
        </w:rPr>
      </w:pPr>
    </w:p>
    <w:p w14:paraId="71B93E6C">
      <w:pPr>
        <w:spacing w:line="6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目   录</w:t>
      </w:r>
    </w:p>
    <w:p w14:paraId="72B3C2D4">
      <w:pPr>
        <w:spacing w:line="600" w:lineRule="exact"/>
        <w:rPr>
          <w:rFonts w:ascii="仿宋_GB2312" w:hAnsi="仿宋_GB2312" w:eastAsia="仿宋_GB2312" w:cs="仿宋_GB2312"/>
          <w:sz w:val="28"/>
          <w:szCs w:val="28"/>
        </w:rPr>
      </w:pPr>
    </w:p>
    <w:p w14:paraId="34AF9F02">
      <w:pPr>
        <w:spacing w:line="600" w:lineRule="exact"/>
        <w:rPr>
          <w:rFonts w:ascii="仿宋_GB2312" w:hAnsi="仿宋_GB2312" w:eastAsia="仿宋_GB2312" w:cs="仿宋_GB2312"/>
          <w:b/>
          <w:sz w:val="28"/>
          <w:szCs w:val="28"/>
        </w:rPr>
      </w:pPr>
      <w:r>
        <w:rPr>
          <w:rFonts w:hint="eastAsia" w:ascii="仿宋_GB2312" w:hAnsi="仿宋_GB2312" w:eastAsia="仿宋_GB2312" w:cs="仿宋_GB2312"/>
          <w:b/>
          <w:sz w:val="28"/>
          <w:szCs w:val="28"/>
        </w:rPr>
        <w:t>第一部分  概 况</w:t>
      </w:r>
    </w:p>
    <w:p w14:paraId="61280C58">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一、主要职责</w:t>
      </w:r>
    </w:p>
    <w:p w14:paraId="0FB83DFE">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二、机构设置情况</w:t>
      </w:r>
    </w:p>
    <w:p w14:paraId="469A8C8D">
      <w:pPr>
        <w:spacing w:line="600" w:lineRule="exact"/>
        <w:rPr>
          <w:rFonts w:ascii="仿宋_GB2312" w:hAnsi="仿宋_GB2312" w:eastAsia="仿宋_GB2312" w:cs="仿宋_GB2312"/>
          <w:b/>
          <w:sz w:val="28"/>
          <w:szCs w:val="28"/>
        </w:rPr>
      </w:pPr>
      <w:r>
        <w:rPr>
          <w:rFonts w:hint="eastAsia" w:ascii="仿宋_GB2312" w:hAnsi="仿宋_GB2312" w:eastAsia="仿宋_GB2312" w:cs="仿宋_GB2312"/>
          <w:b/>
          <w:sz w:val="28"/>
          <w:szCs w:val="28"/>
        </w:rPr>
        <w:t>第二部分  2025年部门预算情况说明</w:t>
      </w:r>
    </w:p>
    <w:p w14:paraId="3086B5AD">
      <w:pPr>
        <w:spacing w:line="600" w:lineRule="exact"/>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一、关于2025年收支预算总表的说明</w:t>
      </w:r>
    </w:p>
    <w:p w14:paraId="3D49F885">
      <w:pPr>
        <w:spacing w:line="600" w:lineRule="exact"/>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二、关于2025年收入预算总表的说明</w:t>
      </w:r>
    </w:p>
    <w:p w14:paraId="711A38B9">
      <w:pPr>
        <w:spacing w:line="600" w:lineRule="exact"/>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三、关于2025年支出预算总表的说明</w:t>
      </w:r>
    </w:p>
    <w:p w14:paraId="41E5B8C1">
      <w:pPr>
        <w:spacing w:line="600" w:lineRule="exact"/>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四、关于2025年财政拨款收支预算总表的说明</w:t>
      </w:r>
    </w:p>
    <w:p w14:paraId="2265174A">
      <w:pPr>
        <w:spacing w:line="600" w:lineRule="exact"/>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五、关于2025年财政拨款一般公共预算支出预算表的说明</w:t>
      </w:r>
    </w:p>
    <w:p w14:paraId="6DEE244C">
      <w:pPr>
        <w:spacing w:line="600" w:lineRule="exact"/>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六、关于2025年财政拨款一般公共预算基本支出预算表的说明</w:t>
      </w:r>
    </w:p>
    <w:p w14:paraId="4AB6A898">
      <w:pPr>
        <w:adjustRightInd/>
        <w:spacing w:line="600" w:lineRule="exact"/>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七、关于2025年财政拨款一般公共预算“三公”经费支出预算表的说明</w:t>
      </w:r>
    </w:p>
    <w:p w14:paraId="5F4D3B9E">
      <w:pPr>
        <w:spacing w:line="600" w:lineRule="exact"/>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八、关于2025年财政拨款政府性基金预算支出预算表的说明</w:t>
      </w:r>
    </w:p>
    <w:p w14:paraId="321B78FE">
      <w:pPr>
        <w:spacing w:line="600" w:lineRule="exact"/>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九、关于2025年国有资本经营预算支出预算表的说明</w:t>
      </w:r>
    </w:p>
    <w:p w14:paraId="5118B108">
      <w:pPr>
        <w:spacing w:line="600" w:lineRule="exact"/>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十、其他重要事项的情况说明</w:t>
      </w:r>
    </w:p>
    <w:p w14:paraId="7DECC1D9">
      <w:pPr>
        <w:spacing w:line="600" w:lineRule="exact"/>
        <w:rPr>
          <w:rFonts w:ascii="仿宋_GB2312" w:hAnsi="仿宋_GB2312" w:eastAsia="仿宋_GB2312" w:cs="仿宋_GB2312"/>
          <w:b/>
          <w:sz w:val="28"/>
          <w:szCs w:val="28"/>
        </w:rPr>
      </w:pPr>
      <w:r>
        <w:rPr>
          <w:rFonts w:hint="eastAsia" w:ascii="仿宋_GB2312" w:hAnsi="仿宋_GB2312" w:eastAsia="仿宋_GB2312" w:cs="仿宋_GB2312"/>
          <w:b/>
          <w:sz w:val="28"/>
          <w:szCs w:val="28"/>
        </w:rPr>
        <w:t>第三部分  名词解释</w:t>
      </w:r>
    </w:p>
    <w:p w14:paraId="660A5316">
      <w:pPr>
        <w:spacing w:line="600" w:lineRule="exact"/>
        <w:rPr>
          <w:rFonts w:ascii="仿宋_GB2312" w:hAnsi="仿宋_GB2312" w:eastAsia="仿宋_GB2312" w:cs="仿宋_GB2312"/>
          <w:b/>
          <w:sz w:val="28"/>
          <w:szCs w:val="28"/>
        </w:rPr>
      </w:pPr>
      <w:r>
        <w:rPr>
          <w:rFonts w:hint="eastAsia" w:ascii="仿宋_GB2312" w:hAnsi="仿宋_GB2312" w:eastAsia="仿宋_GB2312" w:cs="仿宋_GB2312"/>
          <w:b/>
          <w:sz w:val="28"/>
          <w:szCs w:val="28"/>
        </w:rPr>
        <w:t>第四部分  2025年部门预算表</w:t>
      </w:r>
    </w:p>
    <w:p w14:paraId="047CB875">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一、 2025年收支预算总表</w:t>
      </w:r>
    </w:p>
    <w:p w14:paraId="6D229266">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二、 2025年收入预算总表</w:t>
      </w:r>
    </w:p>
    <w:p w14:paraId="774F6625">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三、 2025年支出预算总表</w:t>
      </w:r>
    </w:p>
    <w:p w14:paraId="43EE054E">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四、 2025年财政拨款收支预算总表</w:t>
      </w:r>
    </w:p>
    <w:p w14:paraId="04CA5701">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五、 2025年财政拨款一般公共预算支出预算表</w:t>
      </w:r>
    </w:p>
    <w:p w14:paraId="68226008">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六、 2025年财政拨款一般公共预算基本支出预算表</w:t>
      </w:r>
    </w:p>
    <w:p w14:paraId="3BD3DA17">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七、 2025年财政拨款政府性基金预算支出预算表</w:t>
      </w:r>
    </w:p>
    <w:p w14:paraId="49E704B3">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八、 2025年财政拨款一般公共预算“三公”经费支出预算表</w:t>
      </w:r>
    </w:p>
    <w:p w14:paraId="48E7452C">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九、 2025年财政拨款政府采购预算表</w:t>
      </w:r>
    </w:p>
    <w:p w14:paraId="030A7E65">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十、 202</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年项目支出预算表</w:t>
      </w:r>
    </w:p>
    <w:p w14:paraId="65B76849">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十一、2025年国有资本经营预算支出预算表 </w:t>
      </w:r>
    </w:p>
    <w:p w14:paraId="60D1120B">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十二、2025年项目支出绩效目标表</w:t>
      </w:r>
    </w:p>
    <w:p w14:paraId="48BD4068">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十三、关于空表的说明</w:t>
      </w:r>
      <w:r>
        <w:rPr>
          <w:rFonts w:hint="eastAsia" w:ascii="仿宋_GB2312" w:hAnsi="仿宋_GB2312" w:eastAsia="仿宋_GB2312" w:cs="仿宋_GB2312"/>
          <w:sz w:val="28"/>
          <w:szCs w:val="28"/>
        </w:rPr>
        <w:tab/>
      </w:r>
    </w:p>
    <w:p w14:paraId="2285703F">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TOC \o "1-3" \h \z \u </w:instrText>
      </w:r>
      <w:r>
        <w:rPr>
          <w:rFonts w:hint="eastAsia" w:ascii="仿宋_GB2312" w:hAnsi="仿宋_GB2312" w:eastAsia="仿宋_GB2312" w:cs="仿宋_GB2312"/>
          <w:sz w:val="28"/>
          <w:szCs w:val="28"/>
        </w:rPr>
        <w:fldChar w:fldCharType="separate"/>
      </w:r>
    </w:p>
    <w:p w14:paraId="3B6DF325">
      <w:pPr>
        <w:spacing w:line="600" w:lineRule="exact"/>
        <w:jc w:val="both"/>
        <w:rPr>
          <w:rFonts w:ascii="仿宋_GB2312" w:hAnsi="仿宋_GB2312" w:eastAsia="仿宋_GB2312" w:cs="仿宋_GB2312"/>
          <w:sz w:val="28"/>
          <w:szCs w:val="28"/>
        </w:rPr>
      </w:pPr>
      <w:r>
        <w:rPr>
          <w:rFonts w:hint="eastAsia" w:ascii="仿宋_GB2312" w:hAnsi="仿宋_GB2312" w:eastAsia="仿宋_GB2312" w:cs="仿宋_GB2312"/>
          <w:sz w:val="28"/>
          <w:szCs w:val="28"/>
        </w:rPr>
        <w:fldChar w:fldCharType="end"/>
      </w:r>
    </w:p>
    <w:p w14:paraId="766CA6F8">
      <w:pPr>
        <w:spacing w:line="600" w:lineRule="exact"/>
        <w:jc w:val="both"/>
        <w:rPr>
          <w:rFonts w:ascii="仿宋_GB2312" w:hAnsi="仿宋_GB2312" w:eastAsia="仿宋_GB2312" w:cs="仿宋_GB2312"/>
          <w:sz w:val="28"/>
          <w:szCs w:val="28"/>
        </w:rPr>
      </w:pPr>
    </w:p>
    <w:p w14:paraId="768FA027">
      <w:pPr>
        <w:spacing w:line="600" w:lineRule="exact"/>
        <w:jc w:val="both"/>
        <w:rPr>
          <w:rFonts w:ascii="仿宋_GB2312" w:hAnsi="仿宋_GB2312" w:eastAsia="仿宋_GB2312" w:cs="仿宋_GB2312"/>
          <w:sz w:val="28"/>
          <w:szCs w:val="28"/>
        </w:rPr>
      </w:pPr>
    </w:p>
    <w:p w14:paraId="3283495C">
      <w:pPr>
        <w:spacing w:line="600" w:lineRule="exact"/>
        <w:jc w:val="both"/>
        <w:rPr>
          <w:rFonts w:ascii="仿宋_GB2312" w:hAnsi="仿宋_GB2312" w:eastAsia="仿宋_GB2312" w:cs="仿宋_GB2312"/>
          <w:sz w:val="28"/>
          <w:szCs w:val="28"/>
        </w:rPr>
      </w:pPr>
    </w:p>
    <w:p w14:paraId="52BA4AC0">
      <w:pPr>
        <w:spacing w:line="600" w:lineRule="exact"/>
        <w:jc w:val="both"/>
        <w:rPr>
          <w:rFonts w:ascii="仿宋_GB2312" w:hAnsi="仿宋_GB2312" w:eastAsia="仿宋_GB2312" w:cs="仿宋_GB2312"/>
          <w:sz w:val="28"/>
          <w:szCs w:val="28"/>
        </w:rPr>
      </w:pPr>
    </w:p>
    <w:p w14:paraId="627B5E38">
      <w:pPr>
        <w:spacing w:line="600" w:lineRule="exact"/>
        <w:jc w:val="both"/>
        <w:rPr>
          <w:rFonts w:ascii="仿宋_GB2312" w:hAnsi="仿宋_GB2312" w:eastAsia="仿宋_GB2312" w:cs="仿宋_GB2312"/>
          <w:sz w:val="28"/>
          <w:szCs w:val="28"/>
        </w:rPr>
      </w:pPr>
    </w:p>
    <w:p w14:paraId="62B7AEF4">
      <w:pPr>
        <w:spacing w:line="600" w:lineRule="exact"/>
        <w:jc w:val="both"/>
        <w:rPr>
          <w:rFonts w:ascii="仿宋_GB2312" w:hAnsi="仿宋_GB2312" w:eastAsia="仿宋_GB2312" w:cs="仿宋_GB2312"/>
          <w:sz w:val="28"/>
          <w:szCs w:val="28"/>
        </w:rPr>
      </w:pPr>
    </w:p>
    <w:p w14:paraId="0DFD054C">
      <w:pPr>
        <w:spacing w:line="600" w:lineRule="exact"/>
        <w:jc w:val="both"/>
        <w:rPr>
          <w:rFonts w:ascii="仿宋_GB2312" w:hAnsi="仿宋_GB2312" w:eastAsia="仿宋_GB2312" w:cs="仿宋_GB2312"/>
          <w:sz w:val="28"/>
          <w:szCs w:val="28"/>
        </w:rPr>
      </w:pPr>
    </w:p>
    <w:p w14:paraId="337D61D5">
      <w:pPr>
        <w:spacing w:line="600" w:lineRule="exact"/>
        <w:jc w:val="both"/>
        <w:rPr>
          <w:rFonts w:ascii="仿宋_GB2312" w:hAnsi="仿宋_GB2312" w:eastAsia="仿宋_GB2312" w:cs="仿宋_GB2312"/>
          <w:sz w:val="28"/>
          <w:szCs w:val="28"/>
        </w:rPr>
      </w:pPr>
    </w:p>
    <w:p w14:paraId="1C759392">
      <w:pPr>
        <w:spacing w:line="600" w:lineRule="exact"/>
        <w:jc w:val="both"/>
        <w:rPr>
          <w:rFonts w:ascii="仿宋_GB2312" w:hAnsi="仿宋_GB2312" w:eastAsia="仿宋_GB2312" w:cs="仿宋_GB2312"/>
          <w:sz w:val="28"/>
          <w:szCs w:val="28"/>
        </w:rPr>
      </w:pPr>
    </w:p>
    <w:p w14:paraId="3699D5BD">
      <w:pPr>
        <w:spacing w:line="600" w:lineRule="exact"/>
        <w:jc w:val="both"/>
        <w:rPr>
          <w:rFonts w:ascii="仿宋_GB2312" w:hAnsi="仿宋_GB2312" w:eastAsia="仿宋_GB2312" w:cs="仿宋_GB2312"/>
          <w:w w:val="95"/>
          <w:sz w:val="28"/>
          <w:szCs w:val="28"/>
        </w:rPr>
      </w:pPr>
    </w:p>
    <w:p w14:paraId="76445FFC">
      <w:pPr>
        <w:pStyle w:val="8"/>
        <w:tabs>
          <w:tab w:val="right" w:leader="dot" w:pos="8296"/>
        </w:tabs>
        <w:spacing w:line="600" w:lineRule="exact"/>
        <w:ind w:left="0"/>
        <w:rPr>
          <w:rFonts w:ascii="仿宋_GB2312" w:hAnsi="仿宋_GB2312" w:eastAsia="仿宋_GB2312" w:cs="仿宋_GB2312"/>
          <w:sz w:val="28"/>
          <w:szCs w:val="28"/>
        </w:rPr>
        <w:sectPr>
          <w:headerReference r:id="rId5" w:type="default"/>
          <w:footerReference r:id="rId6" w:type="default"/>
          <w:footerReference r:id="rId7" w:type="even"/>
          <w:pgSz w:w="11907" w:h="16840"/>
          <w:pgMar w:top="2098" w:right="1588" w:bottom="1304" w:left="1588" w:header="765" w:footer="765" w:gutter="0"/>
          <w:pgNumType w:fmt="numberInDash" w:start="1"/>
          <w:cols w:space="720" w:num="1"/>
          <w:docGrid w:linePitch="326" w:charSpace="0"/>
        </w:sectPr>
      </w:pPr>
    </w:p>
    <w:p w14:paraId="5783E1B0">
      <w:pPr>
        <w:spacing w:line="600" w:lineRule="exact"/>
        <w:jc w:val="center"/>
        <w:rPr>
          <w:rFonts w:ascii="仿宋_GB2312" w:hAnsi="仿宋_GB2312" w:eastAsia="仿宋_GB2312" w:cs="仿宋_GB2312"/>
          <w:b/>
          <w:bCs/>
          <w:sz w:val="28"/>
          <w:szCs w:val="28"/>
        </w:rPr>
      </w:pPr>
      <w:bookmarkStart w:id="0" w:name="_Toc78784554"/>
      <w:r>
        <w:rPr>
          <w:rFonts w:hint="eastAsia" w:ascii="仿宋_GB2312" w:hAnsi="仿宋_GB2312" w:eastAsia="仿宋_GB2312" w:cs="仿宋_GB2312"/>
          <w:b/>
          <w:bCs/>
          <w:sz w:val="28"/>
          <w:szCs w:val="28"/>
        </w:rPr>
        <w:t>第一部分  概 况</w:t>
      </w:r>
      <w:bookmarkEnd w:id="0"/>
    </w:p>
    <w:p w14:paraId="30C0472F">
      <w:pPr>
        <w:spacing w:line="600" w:lineRule="exact"/>
        <w:rPr>
          <w:rFonts w:ascii="仿宋_GB2312" w:hAnsi="仿宋_GB2312" w:eastAsia="仿宋_GB2312" w:cs="仿宋_GB2312"/>
          <w:sz w:val="28"/>
          <w:szCs w:val="28"/>
        </w:rPr>
      </w:pPr>
    </w:p>
    <w:p w14:paraId="799FB67D">
      <w:pPr>
        <w:spacing w:line="600" w:lineRule="exact"/>
        <w:rPr>
          <w:rFonts w:ascii="仿宋_GB2312" w:hAnsi="仿宋_GB2312" w:eastAsia="仿宋_GB2312" w:cs="仿宋_GB2312"/>
          <w:sz w:val="28"/>
          <w:szCs w:val="28"/>
        </w:rPr>
      </w:pPr>
      <w:bookmarkStart w:id="1" w:name="_Toc78784555"/>
      <w:r>
        <w:rPr>
          <w:rFonts w:hint="eastAsia" w:ascii="黑体" w:hAnsi="黑体" w:eastAsia="黑体" w:cs="黑体"/>
          <w:sz w:val="28"/>
          <w:szCs w:val="28"/>
        </w:rPr>
        <w:t xml:space="preserve">    一、主要职责</w:t>
      </w:r>
      <w:bookmarkEnd w:id="1"/>
    </w:p>
    <w:p w14:paraId="233D9A2E">
      <w:pPr>
        <w:spacing w:line="580" w:lineRule="exact"/>
        <w:ind w:firstLine="560" w:firstLineChars="200"/>
        <w:jc w:val="both"/>
        <w:rPr>
          <w:rFonts w:ascii="Times New Roman" w:hAnsi="Times New Roman" w:eastAsia="仿宋_GB2312"/>
          <w:sz w:val="32"/>
          <w:szCs w:val="32"/>
          <w:shd w:val="clear" w:color="auto" w:fill="FFFFFF"/>
        </w:rPr>
      </w:pPr>
      <w:bookmarkStart w:id="2" w:name="_Toc78784556"/>
      <w:r>
        <w:rPr>
          <w:rFonts w:hint="eastAsia" w:ascii="仿宋_GB2312" w:hAnsi="仿宋_GB2312" w:eastAsia="仿宋_GB2312" w:cs="仿宋_GB2312"/>
          <w:sz w:val="28"/>
          <w:szCs w:val="28"/>
        </w:rPr>
        <w:t xml:space="preserve">  </w:t>
      </w:r>
      <w:bookmarkEnd w:id="2"/>
      <w:r>
        <w:rPr>
          <w:rFonts w:hint="eastAsia" w:ascii="Times New Roman" w:hAnsi="Times New Roman" w:eastAsia="仿宋_GB2312"/>
          <w:sz w:val="32"/>
          <w:szCs w:val="32"/>
        </w:rPr>
        <w:t>1.</w:t>
      </w:r>
      <w:r>
        <w:rPr>
          <w:rFonts w:hint="eastAsia" w:ascii="Times New Roman" w:hAnsi="Times New Roman" w:eastAsia="仿宋_GB2312"/>
          <w:sz w:val="32"/>
          <w:szCs w:val="32"/>
          <w:shd w:val="clear" w:color="auto" w:fill="FFFFFF"/>
        </w:rPr>
        <w:t>贯彻执行有关国民经济和社会发展、综合统计、价格方面的法律、法规、规章和方针政策，并组织实施和监督检查。</w:t>
      </w:r>
    </w:p>
    <w:p w14:paraId="4E0BF5F7">
      <w:pPr>
        <w:spacing w:line="580" w:lineRule="exact"/>
        <w:ind w:firstLine="640" w:firstLineChars="200"/>
        <w:jc w:val="both"/>
        <w:rPr>
          <w:rFonts w:ascii="Times New Roman" w:hAnsi="Times New Roman" w:eastAsia="仿宋_GB2312"/>
          <w:sz w:val="32"/>
          <w:szCs w:val="32"/>
          <w:shd w:val="clear" w:color="auto" w:fill="FFFFFF"/>
        </w:rPr>
      </w:pPr>
      <w:r>
        <w:rPr>
          <w:rFonts w:hint="eastAsia" w:ascii="Times New Roman" w:hAnsi="Times New Roman" w:eastAsia="仿宋_GB2312"/>
          <w:sz w:val="32"/>
          <w:szCs w:val="32"/>
          <w:shd w:val="clear" w:color="auto" w:fill="FFFFFF"/>
        </w:rPr>
        <w:t>2.负责制订并组织实施区域国民经济和社会发展战略、中长期规划。组织、指导编制和衔接平衡各行业规划、专项规划、区域规划。统筹协调经济社会发展，研究分析国内外和本区经济形势，提出经济社会发展的目标、政策，提出综合运用各种调控手段和政策的建议。</w:t>
      </w:r>
    </w:p>
    <w:p w14:paraId="142F97A8">
      <w:pPr>
        <w:spacing w:line="580" w:lineRule="exact"/>
        <w:ind w:firstLine="640" w:firstLineChars="200"/>
        <w:jc w:val="both"/>
        <w:rPr>
          <w:rFonts w:ascii="Times New Roman" w:hAnsi="Times New Roman" w:eastAsia="仿宋_GB2312"/>
          <w:sz w:val="32"/>
          <w:szCs w:val="32"/>
          <w:shd w:val="clear" w:color="auto" w:fill="FFFFFF"/>
        </w:rPr>
      </w:pPr>
      <w:r>
        <w:rPr>
          <w:rFonts w:hint="eastAsia" w:ascii="Times New Roman" w:hAnsi="Times New Roman" w:eastAsia="仿宋_GB2312"/>
          <w:sz w:val="32"/>
          <w:szCs w:val="32"/>
          <w:shd w:val="clear" w:color="auto" w:fill="FFFFFF"/>
        </w:rPr>
        <w:t>3.负责制订并组织实施区域经济运行的年度目标；监测、分析本区国民经济和社会发展态势，研究区域经济运行发展中的重要问题并提出调控政策建议，协调解决经济运行中的重大问题。</w:t>
      </w:r>
    </w:p>
    <w:p w14:paraId="3FE9F829">
      <w:pPr>
        <w:spacing w:line="580" w:lineRule="exact"/>
        <w:ind w:firstLine="640" w:firstLineChars="200"/>
        <w:jc w:val="both"/>
        <w:rPr>
          <w:rFonts w:ascii="Times New Roman" w:hAnsi="Times New Roman" w:eastAsia="仿宋_GB2312"/>
          <w:sz w:val="32"/>
          <w:szCs w:val="32"/>
          <w:shd w:val="clear" w:color="auto" w:fill="FFFFFF"/>
        </w:rPr>
      </w:pPr>
      <w:r>
        <w:rPr>
          <w:rFonts w:hint="eastAsia" w:ascii="Times New Roman" w:hAnsi="Times New Roman" w:eastAsia="仿宋_GB2312"/>
          <w:sz w:val="32"/>
          <w:szCs w:val="32"/>
          <w:shd w:val="clear" w:color="auto" w:fill="FFFFFF"/>
        </w:rPr>
        <w:t>4.负责考核指标督办与指标进度推动，统筹组织经济指标任务落实，组织协调各指标推进过程中的困难和问题。</w:t>
      </w:r>
    </w:p>
    <w:p w14:paraId="5814F960">
      <w:pPr>
        <w:spacing w:line="580" w:lineRule="exact"/>
        <w:ind w:firstLine="640" w:firstLineChars="200"/>
        <w:jc w:val="both"/>
        <w:rPr>
          <w:rFonts w:ascii="Times New Roman" w:hAnsi="Times New Roman" w:eastAsia="仿宋_GB2312"/>
          <w:sz w:val="32"/>
          <w:szCs w:val="32"/>
          <w:shd w:val="clear" w:color="auto" w:fill="FFFFFF"/>
        </w:rPr>
      </w:pPr>
      <w:r>
        <w:rPr>
          <w:rFonts w:hint="eastAsia" w:ascii="Times New Roman" w:hAnsi="Times New Roman" w:eastAsia="仿宋_GB2312"/>
          <w:sz w:val="32"/>
          <w:szCs w:val="32"/>
          <w:shd w:val="clear" w:color="auto" w:fill="FFFFFF"/>
        </w:rPr>
        <w:t>5.负责按规定权限审批、审核上报固定资产投资项目。</w:t>
      </w:r>
    </w:p>
    <w:p w14:paraId="36B132CB">
      <w:pPr>
        <w:spacing w:line="580" w:lineRule="exact"/>
        <w:ind w:firstLine="640" w:firstLineChars="200"/>
        <w:jc w:val="both"/>
        <w:rPr>
          <w:rFonts w:ascii="Times New Roman" w:hAnsi="Times New Roman" w:eastAsia="仿宋_GB2312"/>
          <w:sz w:val="32"/>
          <w:szCs w:val="32"/>
          <w:shd w:val="clear" w:color="auto" w:fill="FFFFFF"/>
        </w:rPr>
      </w:pPr>
      <w:r>
        <w:rPr>
          <w:rFonts w:hint="eastAsia" w:ascii="Times New Roman" w:hAnsi="Times New Roman" w:eastAsia="仿宋_GB2312"/>
          <w:sz w:val="32"/>
          <w:szCs w:val="32"/>
          <w:shd w:val="clear" w:color="auto" w:fill="FFFFFF"/>
        </w:rPr>
        <w:t>6.负责协调产业发展等重大问题并衔接平衡相关发展规划和重大政策，做好与国民经济和社会发展规划的衔接平衡。协调解决行业运行发展中的有关问题并提出政策建议。</w:t>
      </w:r>
    </w:p>
    <w:p w14:paraId="6787E6F1">
      <w:pPr>
        <w:spacing w:line="580" w:lineRule="exact"/>
        <w:ind w:firstLine="640" w:firstLineChars="200"/>
        <w:jc w:val="both"/>
        <w:rPr>
          <w:rFonts w:ascii="Times New Roman" w:hAnsi="Times New Roman" w:eastAsia="仿宋_GB2312"/>
          <w:sz w:val="32"/>
          <w:szCs w:val="32"/>
          <w:shd w:val="clear" w:color="auto" w:fill="FFFFFF"/>
        </w:rPr>
      </w:pPr>
      <w:r>
        <w:rPr>
          <w:rFonts w:hint="eastAsia" w:ascii="Times New Roman" w:hAnsi="Times New Roman" w:eastAsia="仿宋_GB2312"/>
          <w:sz w:val="32"/>
          <w:szCs w:val="32"/>
          <w:shd w:val="clear" w:color="auto" w:fill="FFFFFF"/>
        </w:rPr>
        <w:t>7.负责本区统计管理工作。负责本区统计资料的收集、整理，组织实施各项统计报表制度，完成各项统计调查任务。对接区域国民经济核算工作。开展统计分析、预测和监督，提供统计信息和咨询建议。组织和协调本区重大国情国力和区情区力普查、各项专项调查。</w:t>
      </w:r>
    </w:p>
    <w:p w14:paraId="73E35DD6">
      <w:pPr>
        <w:spacing w:line="580" w:lineRule="exact"/>
        <w:ind w:firstLine="640" w:firstLineChars="200"/>
        <w:jc w:val="both"/>
        <w:rPr>
          <w:rFonts w:ascii="Times New Roman" w:hAnsi="Times New Roman" w:eastAsia="仿宋_GB2312"/>
          <w:sz w:val="32"/>
          <w:szCs w:val="32"/>
          <w:shd w:val="clear" w:color="auto" w:fill="FFFFFF"/>
        </w:rPr>
      </w:pPr>
      <w:r>
        <w:rPr>
          <w:rFonts w:hint="eastAsia" w:ascii="Times New Roman" w:hAnsi="Times New Roman" w:eastAsia="仿宋_GB2312"/>
          <w:sz w:val="32"/>
          <w:szCs w:val="32"/>
          <w:shd w:val="clear" w:color="auto" w:fill="FFFFFF"/>
        </w:rPr>
        <w:t>8.负责研究可持续发展战略，推进碳达峰碳中和的统筹协调工作。组织制订低碳经济发展规划和政策措施并协调实施。参与环境资源领域各项规划的编制和重大问题研究。实施资源综合利用工作。</w:t>
      </w:r>
    </w:p>
    <w:p w14:paraId="51880F3B">
      <w:pPr>
        <w:spacing w:line="580" w:lineRule="exact"/>
        <w:ind w:firstLine="640" w:firstLineChars="200"/>
        <w:jc w:val="both"/>
        <w:rPr>
          <w:rFonts w:ascii="Times New Roman" w:hAnsi="Times New Roman" w:eastAsia="仿宋_GB2312"/>
          <w:sz w:val="32"/>
          <w:szCs w:val="32"/>
          <w:shd w:val="clear" w:color="auto" w:fill="FFFFFF"/>
        </w:rPr>
      </w:pPr>
      <w:r>
        <w:rPr>
          <w:rFonts w:hint="eastAsia" w:ascii="Times New Roman" w:hAnsi="Times New Roman" w:eastAsia="仿宋_GB2312"/>
          <w:sz w:val="32"/>
          <w:szCs w:val="32"/>
          <w:shd w:val="clear" w:color="auto" w:fill="FFFFFF"/>
        </w:rPr>
        <w:t>9.承担本领域安全生产管理责任。</w:t>
      </w:r>
    </w:p>
    <w:p w14:paraId="46A81970">
      <w:pPr>
        <w:spacing w:line="580" w:lineRule="exact"/>
        <w:ind w:firstLine="640" w:firstLineChars="200"/>
        <w:jc w:val="both"/>
        <w:rPr>
          <w:rFonts w:ascii="Times New Roman" w:hAnsi="Times New Roman" w:eastAsia="仿宋_GB2312"/>
          <w:sz w:val="32"/>
          <w:szCs w:val="32"/>
          <w:shd w:val="clear" w:color="auto" w:fill="FFFFFF"/>
        </w:rPr>
      </w:pPr>
      <w:r>
        <w:rPr>
          <w:rFonts w:hint="eastAsia" w:ascii="Times New Roman" w:hAnsi="Times New Roman" w:eastAsia="仿宋_GB2312"/>
          <w:sz w:val="32"/>
          <w:szCs w:val="32"/>
          <w:shd w:val="clear" w:color="auto" w:fill="FFFFFF"/>
        </w:rPr>
        <w:t>10.承接对应滨海新区发展和改革委员会、统计局、国家统计局滨海新区调查队、区委组织部考核管理室相关职责。</w:t>
      </w:r>
    </w:p>
    <w:p w14:paraId="3485F092">
      <w:pPr>
        <w:spacing w:line="580" w:lineRule="exact"/>
        <w:jc w:val="both"/>
        <w:rPr>
          <w:rFonts w:ascii="Times New Roman" w:hAnsi="Times New Roman" w:eastAsia="楷体_GB2312"/>
          <w:b/>
          <w:bCs/>
          <w:sz w:val="32"/>
          <w:szCs w:val="32"/>
        </w:rPr>
      </w:pPr>
      <w:r>
        <w:rPr>
          <w:rFonts w:hint="eastAsia" w:ascii="Times New Roman" w:hAnsi="Times New Roman" w:eastAsia="楷体_GB2312"/>
          <w:b/>
          <w:bCs/>
          <w:sz w:val="32"/>
          <w:szCs w:val="32"/>
        </w:rPr>
        <w:t>二、机构设置情况</w:t>
      </w:r>
    </w:p>
    <w:p w14:paraId="7FC0CD5A">
      <w:pPr>
        <w:spacing w:line="58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 xml:space="preserve">中新天津生态城发展和改革局内设 </w:t>
      </w:r>
      <w:r>
        <w:rPr>
          <w:rFonts w:hint="eastAsia" w:ascii="Times New Roman" w:hAnsi="Times New Roman" w:eastAsia="仿宋_GB2312"/>
          <w:sz w:val="32"/>
          <w:szCs w:val="32"/>
          <w:u w:val="single"/>
        </w:rPr>
        <w:t>6</w:t>
      </w:r>
      <w:r>
        <w:rPr>
          <w:rFonts w:hint="eastAsia" w:ascii="Times New Roman" w:hAnsi="Times New Roman" w:eastAsia="仿宋_GB2312"/>
          <w:sz w:val="32"/>
          <w:szCs w:val="32"/>
        </w:rPr>
        <w:t>个职能科室；下辖</w:t>
      </w:r>
      <w:r>
        <w:rPr>
          <w:rFonts w:hint="eastAsia" w:ascii="Times New Roman" w:hAnsi="Times New Roman" w:eastAsia="仿宋_GB2312"/>
          <w:sz w:val="32"/>
          <w:szCs w:val="32"/>
          <w:u w:val="single"/>
        </w:rPr>
        <w:t>1</w:t>
      </w:r>
      <w:r>
        <w:rPr>
          <w:rFonts w:hint="eastAsia" w:ascii="Times New Roman" w:hAnsi="Times New Roman" w:eastAsia="仿宋_GB2312"/>
          <w:sz w:val="32"/>
          <w:szCs w:val="32"/>
        </w:rPr>
        <w:t>个预算单位。</w:t>
      </w:r>
    </w:p>
    <w:p w14:paraId="423AD0F4">
      <w:pPr>
        <w:spacing w:line="58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中新天津生态城发展和改革局2025年部门预算编制范围的预算单位包括：</w:t>
      </w:r>
    </w:p>
    <w:p w14:paraId="15FCA508">
      <w:pPr>
        <w:spacing w:line="58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1.中新天津生态城发展和改革局本级</w:t>
      </w:r>
    </w:p>
    <w:p w14:paraId="2451DA83">
      <w:pPr>
        <w:spacing w:line="580" w:lineRule="exact"/>
        <w:ind w:firstLine="600"/>
        <w:jc w:val="both"/>
        <w:rPr>
          <w:rFonts w:ascii="Times New Roman" w:hAnsi="Times New Roman"/>
          <w:w w:val="95"/>
          <w:sz w:val="32"/>
          <w:szCs w:val="32"/>
        </w:rPr>
      </w:pPr>
    </w:p>
    <w:p w14:paraId="2A3960C7">
      <w:pPr>
        <w:spacing w:line="600" w:lineRule="exact"/>
        <w:jc w:val="both"/>
        <w:rPr>
          <w:rFonts w:ascii="仿宋_GB2312" w:hAnsi="仿宋_GB2312" w:eastAsia="仿宋_GB2312" w:cs="仿宋_GB2312"/>
          <w:w w:val="95"/>
          <w:sz w:val="28"/>
          <w:szCs w:val="28"/>
        </w:rPr>
      </w:pPr>
    </w:p>
    <w:p w14:paraId="4F01AFE5">
      <w:pPr>
        <w:spacing w:line="600" w:lineRule="exact"/>
        <w:jc w:val="both"/>
        <w:rPr>
          <w:rFonts w:ascii="仿宋_GB2312" w:hAnsi="仿宋_GB2312" w:eastAsia="仿宋_GB2312" w:cs="仿宋_GB2312"/>
          <w:w w:val="95"/>
          <w:sz w:val="28"/>
          <w:szCs w:val="28"/>
        </w:rPr>
      </w:pPr>
    </w:p>
    <w:p w14:paraId="74760ADD">
      <w:pPr>
        <w:spacing w:line="600" w:lineRule="exact"/>
        <w:jc w:val="both"/>
        <w:rPr>
          <w:rFonts w:ascii="仿宋_GB2312" w:hAnsi="仿宋_GB2312" w:eastAsia="仿宋_GB2312" w:cs="仿宋_GB2312"/>
          <w:w w:val="95"/>
          <w:sz w:val="28"/>
          <w:szCs w:val="28"/>
        </w:rPr>
      </w:pPr>
    </w:p>
    <w:p w14:paraId="72F89696">
      <w:pPr>
        <w:spacing w:line="600" w:lineRule="exact"/>
        <w:jc w:val="both"/>
        <w:rPr>
          <w:rFonts w:ascii="仿宋_GB2312" w:hAnsi="仿宋_GB2312" w:eastAsia="仿宋_GB2312" w:cs="仿宋_GB2312"/>
          <w:w w:val="95"/>
          <w:sz w:val="28"/>
          <w:szCs w:val="28"/>
        </w:rPr>
      </w:pPr>
    </w:p>
    <w:p w14:paraId="42D64966">
      <w:pPr>
        <w:spacing w:line="600" w:lineRule="exact"/>
        <w:jc w:val="both"/>
        <w:rPr>
          <w:rFonts w:ascii="仿宋_GB2312" w:hAnsi="仿宋_GB2312" w:eastAsia="仿宋_GB2312" w:cs="仿宋_GB2312"/>
          <w:w w:val="95"/>
          <w:sz w:val="28"/>
          <w:szCs w:val="28"/>
        </w:rPr>
      </w:pPr>
    </w:p>
    <w:p w14:paraId="432E735F">
      <w:pPr>
        <w:spacing w:line="600" w:lineRule="exact"/>
        <w:jc w:val="both"/>
        <w:rPr>
          <w:rFonts w:ascii="仿宋_GB2312" w:hAnsi="仿宋_GB2312" w:eastAsia="仿宋_GB2312" w:cs="仿宋_GB2312"/>
          <w:w w:val="95"/>
          <w:sz w:val="28"/>
          <w:szCs w:val="28"/>
        </w:rPr>
      </w:pPr>
    </w:p>
    <w:p w14:paraId="754AC2FC">
      <w:pPr>
        <w:spacing w:line="600" w:lineRule="exact"/>
        <w:rPr>
          <w:rFonts w:ascii="仿宋_GB2312" w:hAnsi="仿宋_GB2312" w:eastAsia="仿宋_GB2312" w:cs="仿宋_GB2312"/>
          <w:w w:val="95"/>
          <w:sz w:val="28"/>
          <w:szCs w:val="28"/>
        </w:rPr>
      </w:pPr>
      <w:bookmarkStart w:id="3" w:name="_Toc78784570"/>
    </w:p>
    <w:p w14:paraId="306AC153">
      <w:pPr>
        <w:spacing w:line="240" w:lineRule="auto"/>
        <w:jc w:val="center"/>
        <w:rPr>
          <w:rFonts w:ascii="仿宋_GB2312" w:hAnsi="仿宋_GB2312" w:eastAsia="仿宋_GB2312" w:cs="仿宋_GB2312"/>
          <w:sz w:val="28"/>
          <w:szCs w:val="28"/>
        </w:rPr>
      </w:pPr>
    </w:p>
    <w:p w14:paraId="3C11228E">
      <w:pPr>
        <w:spacing w:line="240" w:lineRule="auto"/>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第二部分 2025年部门预算情况说明</w:t>
      </w:r>
      <w:bookmarkEnd w:id="3"/>
    </w:p>
    <w:p w14:paraId="122BAA08">
      <w:pPr>
        <w:spacing w:line="600" w:lineRule="exact"/>
        <w:jc w:val="both"/>
        <w:rPr>
          <w:rFonts w:ascii="仿宋_GB2312" w:hAnsi="仿宋_GB2312" w:eastAsia="仿宋_GB2312" w:cs="仿宋_GB2312"/>
          <w:sz w:val="28"/>
          <w:szCs w:val="28"/>
        </w:rPr>
      </w:pPr>
    </w:p>
    <w:p w14:paraId="3750B79A">
      <w:pPr>
        <w:spacing w:line="600" w:lineRule="exact"/>
        <w:rPr>
          <w:rFonts w:ascii="黑体" w:hAnsi="黑体" w:eastAsia="黑体" w:cs="黑体"/>
          <w:sz w:val="28"/>
          <w:szCs w:val="28"/>
        </w:rPr>
      </w:pPr>
      <w:bookmarkStart w:id="4" w:name="_Toc78784571"/>
      <w:r>
        <w:rPr>
          <w:rFonts w:hint="eastAsia" w:ascii="仿宋_GB2312" w:hAnsi="仿宋_GB2312" w:eastAsia="仿宋_GB2312" w:cs="仿宋_GB2312"/>
          <w:sz w:val="28"/>
          <w:szCs w:val="28"/>
        </w:rPr>
        <w:t xml:space="preserve">   </w:t>
      </w:r>
      <w:r>
        <w:rPr>
          <w:rFonts w:hint="eastAsia" w:ascii="黑体" w:hAnsi="黑体" w:eastAsia="黑体" w:cs="黑体"/>
          <w:sz w:val="28"/>
          <w:szCs w:val="28"/>
        </w:rPr>
        <w:t xml:space="preserve"> 一、</w:t>
      </w:r>
      <w:bookmarkEnd w:id="4"/>
      <w:r>
        <w:rPr>
          <w:rFonts w:hint="eastAsia" w:ascii="黑体" w:hAnsi="黑体" w:eastAsia="黑体" w:cs="黑体"/>
          <w:sz w:val="28"/>
          <w:szCs w:val="28"/>
        </w:rPr>
        <w:t>关于2025年收支预算总表的说明</w:t>
      </w:r>
    </w:p>
    <w:p w14:paraId="38609795">
      <w:pPr>
        <w:spacing w:line="600" w:lineRule="exact"/>
        <w:ind w:firstLine="140" w:firstLineChars="5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按照综合预算的原则，本部门所有收入和支出均纳入部门预算管理。收入包括：一般公共预算拨款收入</w:t>
      </w:r>
      <w:r>
        <w:rPr>
          <w:rFonts w:hint="eastAsia" w:ascii="仿宋_GB2312" w:hAnsi="仿宋_GB2312" w:eastAsia="仿宋_GB2312" w:cs="仿宋_GB2312"/>
          <w:sz w:val="28"/>
          <w:szCs w:val="28"/>
          <w:u w:val="single"/>
        </w:rPr>
        <w:t>1137.37</w:t>
      </w:r>
      <w:r>
        <w:rPr>
          <w:rFonts w:hint="eastAsia" w:ascii="仿宋_GB2312" w:hAnsi="仿宋_GB2312" w:eastAsia="仿宋_GB2312" w:cs="仿宋_GB2312"/>
          <w:sz w:val="28"/>
          <w:szCs w:val="28"/>
        </w:rPr>
        <w:t>万元、政府性基金预算拨款收入</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万元、国有资本经营预算拨款收入</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万元、纳入财政专户的教育收费拨</w:t>
      </w:r>
      <w:r>
        <w:rPr>
          <w:rFonts w:hint="eastAsia" w:ascii="仿宋_GB2312" w:hAnsi="仿宋_GB2312" w:eastAsia="仿宋_GB2312" w:cs="仿宋_GB2312"/>
          <w:spacing w:val="-20"/>
          <w:sz w:val="28"/>
          <w:szCs w:val="28"/>
        </w:rPr>
        <w:t>款</w:t>
      </w:r>
      <w:r>
        <w:rPr>
          <w:rFonts w:hint="eastAsia" w:ascii="仿宋_GB2312" w:hAnsi="仿宋_GB2312" w:eastAsia="仿宋_GB2312" w:cs="仿宋_GB2312"/>
          <w:spacing w:val="-20"/>
          <w:sz w:val="28"/>
          <w:szCs w:val="28"/>
          <w:u w:val="single"/>
        </w:rPr>
        <w:t>0</w:t>
      </w:r>
      <w:r>
        <w:rPr>
          <w:rFonts w:hint="eastAsia" w:ascii="仿宋_GB2312" w:hAnsi="仿宋_GB2312" w:eastAsia="仿宋_GB2312" w:cs="仿宋_GB2312"/>
          <w:spacing w:val="-20"/>
          <w:sz w:val="28"/>
          <w:szCs w:val="28"/>
        </w:rPr>
        <w:t>万元、其他事业收入</w:t>
      </w:r>
      <w:r>
        <w:rPr>
          <w:rFonts w:hint="eastAsia" w:ascii="仿宋_GB2312" w:hAnsi="仿宋_GB2312" w:eastAsia="仿宋_GB2312" w:cs="仿宋_GB2312"/>
          <w:spacing w:val="-20"/>
          <w:sz w:val="28"/>
          <w:szCs w:val="28"/>
          <w:u w:val="single"/>
        </w:rPr>
        <w:t>0</w:t>
      </w:r>
      <w:r>
        <w:rPr>
          <w:rFonts w:hint="eastAsia" w:ascii="仿宋_GB2312" w:hAnsi="仿宋_GB2312" w:eastAsia="仿宋_GB2312" w:cs="仿宋_GB2312"/>
          <w:spacing w:val="-20"/>
          <w:sz w:val="28"/>
          <w:szCs w:val="28"/>
        </w:rPr>
        <w:t>万元、经营收入</w:t>
      </w:r>
      <w:r>
        <w:rPr>
          <w:rFonts w:hint="eastAsia" w:ascii="仿宋_GB2312" w:hAnsi="仿宋_GB2312" w:eastAsia="仿宋_GB2312" w:cs="仿宋_GB2312"/>
          <w:spacing w:val="-20"/>
          <w:sz w:val="28"/>
          <w:szCs w:val="28"/>
          <w:u w:val="single"/>
        </w:rPr>
        <w:t xml:space="preserve"> 0</w:t>
      </w:r>
      <w:r>
        <w:rPr>
          <w:rFonts w:hint="eastAsia" w:ascii="仿宋_GB2312" w:hAnsi="仿宋_GB2312" w:eastAsia="仿宋_GB2312" w:cs="仿宋_GB2312"/>
          <w:spacing w:val="-20"/>
          <w:sz w:val="28"/>
          <w:szCs w:val="28"/>
        </w:rPr>
        <w:t>万元、上级补助收入</w:t>
      </w:r>
      <w:r>
        <w:rPr>
          <w:rFonts w:hint="eastAsia" w:ascii="仿宋_GB2312" w:hAnsi="仿宋_GB2312" w:eastAsia="仿宋_GB2312" w:cs="仿宋_GB2312"/>
          <w:spacing w:val="-20"/>
          <w:sz w:val="28"/>
          <w:szCs w:val="28"/>
          <w:u w:val="single"/>
        </w:rPr>
        <w:t xml:space="preserve"> </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万元、附属单位上缴收入</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万元、其他收入</w:t>
      </w:r>
      <w:r>
        <w:rPr>
          <w:rFonts w:hint="eastAsia" w:ascii="仿宋_GB2312" w:hAnsi="仿宋_GB2312" w:eastAsia="仿宋_GB2312" w:cs="仿宋_GB2312"/>
          <w:sz w:val="28"/>
          <w:szCs w:val="28"/>
          <w:u w:val="single"/>
        </w:rPr>
        <w:t xml:space="preserve"> 0</w:t>
      </w:r>
      <w:r>
        <w:rPr>
          <w:rFonts w:hint="eastAsia" w:ascii="仿宋_GB2312" w:hAnsi="仿宋_GB2312" w:eastAsia="仿宋_GB2312" w:cs="仿宋_GB2312"/>
          <w:sz w:val="28"/>
          <w:szCs w:val="28"/>
        </w:rPr>
        <w:t>万元、上年结转和结余</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万元；支出包括：一般公共服务支出</w:t>
      </w:r>
      <w:r>
        <w:rPr>
          <w:rFonts w:hint="eastAsia" w:ascii="仿宋_GB2312" w:hAnsi="仿宋_GB2312" w:eastAsia="仿宋_GB2312" w:cs="仿宋_GB2312"/>
          <w:sz w:val="28"/>
          <w:szCs w:val="28"/>
          <w:u w:val="single"/>
        </w:rPr>
        <w:t>1071.68</w:t>
      </w:r>
      <w:r>
        <w:rPr>
          <w:rFonts w:hint="eastAsia" w:ascii="仿宋_GB2312" w:hAnsi="仿宋_GB2312" w:eastAsia="仿宋_GB2312" w:cs="仿宋_GB2312"/>
          <w:sz w:val="28"/>
          <w:szCs w:val="28"/>
        </w:rPr>
        <w:t>万元，社会保障和就业支出</w:t>
      </w:r>
      <w:r>
        <w:rPr>
          <w:rFonts w:hint="eastAsia" w:ascii="仿宋_GB2312" w:hAnsi="仿宋_GB2312" w:eastAsia="仿宋_GB2312" w:cs="仿宋_GB2312"/>
          <w:sz w:val="28"/>
          <w:szCs w:val="28"/>
          <w:u w:val="single"/>
        </w:rPr>
        <w:t xml:space="preserve">  </w:t>
      </w:r>
      <w:r>
        <w:rPr>
          <w:rFonts w:ascii="仿宋_GB2312" w:hAnsi="仿宋_GB2312" w:eastAsia="仿宋_GB2312" w:cs="仿宋_GB2312"/>
          <w:sz w:val="28"/>
          <w:szCs w:val="28"/>
          <w:u w:val="single"/>
        </w:rPr>
        <w:t>46.37</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万元、</w:t>
      </w:r>
      <w:r>
        <w:rPr>
          <w:rFonts w:hint="eastAsia" w:ascii="仿宋_GB2312" w:hAnsi="仿宋_GB2312" w:eastAsia="仿宋_GB2312" w:cs="仿宋_GB2312"/>
          <w:color w:val="000000"/>
          <w:sz w:val="28"/>
          <w:szCs w:val="28"/>
        </w:rPr>
        <w:t>卫生健康支出</w:t>
      </w:r>
      <w:r>
        <w:rPr>
          <w:rFonts w:hint="eastAsia" w:ascii="仿宋_GB2312" w:hAnsi="仿宋_GB2312" w:eastAsia="仿宋_GB2312" w:cs="仿宋_GB2312"/>
          <w:color w:val="000000"/>
          <w:sz w:val="28"/>
          <w:szCs w:val="28"/>
          <w:u w:val="single"/>
        </w:rPr>
        <w:t xml:space="preserve">  </w:t>
      </w:r>
      <w:r>
        <w:rPr>
          <w:rFonts w:ascii="仿宋_GB2312" w:hAnsi="仿宋_GB2312" w:eastAsia="仿宋_GB2312" w:cs="仿宋_GB2312"/>
          <w:color w:val="000000"/>
          <w:sz w:val="28"/>
          <w:szCs w:val="28"/>
          <w:u w:val="single"/>
        </w:rPr>
        <w:t>19.32</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万元</w:t>
      </w:r>
      <w:r>
        <w:rPr>
          <w:rFonts w:hint="eastAsia" w:ascii="仿宋_GB2312" w:hAnsi="仿宋_GB2312" w:eastAsia="仿宋_GB2312" w:cs="仿宋_GB2312"/>
          <w:sz w:val="28"/>
          <w:szCs w:val="28"/>
        </w:rPr>
        <w:t>。本部门2025年收支总预算</w:t>
      </w:r>
      <w:r>
        <w:rPr>
          <w:rFonts w:hint="eastAsia" w:ascii="仿宋_GB2312" w:hAnsi="仿宋_GB2312" w:eastAsia="仿宋_GB2312" w:cs="仿宋_GB2312"/>
          <w:sz w:val="28"/>
          <w:szCs w:val="28"/>
          <w:u w:val="single"/>
        </w:rPr>
        <w:t>1137.37</w:t>
      </w:r>
      <w:r>
        <w:rPr>
          <w:rFonts w:hint="eastAsia" w:ascii="仿宋_GB2312" w:hAnsi="仿宋_GB2312" w:eastAsia="仿宋_GB2312" w:cs="仿宋_GB2312"/>
          <w:sz w:val="28"/>
          <w:szCs w:val="28"/>
        </w:rPr>
        <w:t>万元。</w:t>
      </w:r>
    </w:p>
    <w:p w14:paraId="4FBC2E71">
      <w:pPr>
        <w:spacing w:line="600" w:lineRule="exact"/>
        <w:rPr>
          <w:rFonts w:ascii="黑体" w:hAnsi="黑体" w:eastAsia="黑体" w:cs="黑体"/>
          <w:sz w:val="28"/>
          <w:szCs w:val="28"/>
        </w:rPr>
      </w:pPr>
      <w:bookmarkStart w:id="5" w:name="_Toc78784572"/>
      <w:r>
        <w:rPr>
          <w:rFonts w:hint="eastAsia" w:ascii="仿宋_GB2312" w:hAnsi="仿宋_GB2312" w:eastAsia="仿宋_GB2312" w:cs="仿宋_GB2312"/>
          <w:sz w:val="28"/>
          <w:szCs w:val="28"/>
        </w:rPr>
        <w:t xml:space="preserve">   </w:t>
      </w:r>
      <w:r>
        <w:rPr>
          <w:rFonts w:hint="eastAsia" w:ascii="黑体" w:hAnsi="黑体" w:eastAsia="黑体" w:cs="黑体"/>
          <w:sz w:val="28"/>
          <w:szCs w:val="28"/>
        </w:rPr>
        <w:t xml:space="preserve"> 二、</w:t>
      </w:r>
      <w:bookmarkEnd w:id="5"/>
      <w:r>
        <w:rPr>
          <w:rFonts w:hint="eastAsia" w:ascii="黑体" w:hAnsi="黑体" w:eastAsia="黑体" w:cs="黑体"/>
          <w:sz w:val="28"/>
          <w:szCs w:val="28"/>
        </w:rPr>
        <w:t>关于2025年收入预算总表的说明</w:t>
      </w:r>
    </w:p>
    <w:p w14:paraId="78D6D0B6">
      <w:pPr>
        <w:spacing w:line="6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本部门2025年部门预算收入</w:t>
      </w:r>
      <w:r>
        <w:rPr>
          <w:rFonts w:hint="eastAsia" w:ascii="仿宋_GB2312" w:hAnsi="仿宋_GB2312" w:eastAsia="仿宋_GB2312" w:cs="仿宋_GB2312"/>
          <w:sz w:val="28"/>
          <w:szCs w:val="28"/>
          <w:u w:val="single"/>
        </w:rPr>
        <w:t>1137.37</w:t>
      </w:r>
      <w:r>
        <w:rPr>
          <w:rFonts w:hint="eastAsia" w:ascii="仿宋_GB2312" w:hAnsi="仿宋_GB2312" w:eastAsia="仿宋_GB2312" w:cs="仿宋_GB2312"/>
          <w:sz w:val="28"/>
          <w:szCs w:val="28"/>
        </w:rPr>
        <w:t>万元，与2024年预算相比减少</w:t>
      </w:r>
      <w:r>
        <w:rPr>
          <w:rFonts w:hint="eastAsia" w:ascii="仿宋_GB2312" w:hAnsi="仿宋_GB2312" w:eastAsia="仿宋_GB2312" w:cs="仿宋_GB2312"/>
          <w:sz w:val="28"/>
          <w:szCs w:val="28"/>
          <w:u w:val="single"/>
        </w:rPr>
        <w:t>170.05</w:t>
      </w:r>
      <w:r>
        <w:rPr>
          <w:rFonts w:hint="eastAsia" w:ascii="仿宋_GB2312" w:hAnsi="仿宋_GB2312" w:eastAsia="仿宋_GB2312" w:cs="仿宋_GB2312"/>
          <w:sz w:val="28"/>
          <w:szCs w:val="28"/>
        </w:rPr>
        <w:t>万元，主要原因是</w:t>
      </w:r>
      <w:r>
        <w:rPr>
          <w:rFonts w:hint="eastAsia" w:ascii="仿宋_GB2312" w:hAnsi="仿宋_GB2312" w:eastAsia="仿宋_GB2312" w:cs="仿宋_GB2312"/>
          <w:sz w:val="28"/>
          <w:szCs w:val="28"/>
          <w:u w:val="single"/>
        </w:rPr>
        <w:t>按年度业务情况安排，压减支出</w:t>
      </w:r>
      <w:r>
        <w:rPr>
          <w:rFonts w:hint="eastAsia" w:ascii="仿宋_GB2312" w:hAnsi="仿宋_GB2312" w:eastAsia="仿宋_GB2312" w:cs="仿宋_GB2312"/>
          <w:sz w:val="28"/>
          <w:szCs w:val="28"/>
        </w:rPr>
        <w:t>。其中：上年结转和结余</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万元，占</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%；一般公共预算</w:t>
      </w:r>
      <w:r>
        <w:rPr>
          <w:rFonts w:hint="eastAsia" w:ascii="仿宋_GB2312" w:hAnsi="仿宋_GB2312" w:eastAsia="仿宋_GB2312" w:cs="仿宋_GB2312"/>
          <w:sz w:val="28"/>
          <w:szCs w:val="28"/>
          <w:u w:val="single"/>
        </w:rPr>
        <w:t>1137.37</w:t>
      </w:r>
      <w:r>
        <w:rPr>
          <w:rFonts w:hint="eastAsia" w:ascii="仿宋_GB2312" w:hAnsi="仿宋_GB2312" w:eastAsia="仿宋_GB2312" w:cs="仿宋_GB2312"/>
          <w:sz w:val="28"/>
          <w:szCs w:val="28"/>
        </w:rPr>
        <w:t>万元，占</w:t>
      </w:r>
      <w:r>
        <w:rPr>
          <w:rFonts w:hint="eastAsia" w:ascii="仿宋_GB2312" w:hAnsi="仿宋_GB2312" w:eastAsia="仿宋_GB2312" w:cs="仿宋_GB2312"/>
          <w:sz w:val="28"/>
          <w:szCs w:val="28"/>
          <w:u w:val="single"/>
        </w:rPr>
        <w:t>100</w:t>
      </w:r>
      <w:r>
        <w:rPr>
          <w:rFonts w:hint="eastAsia" w:ascii="仿宋_GB2312" w:hAnsi="仿宋_GB2312" w:eastAsia="仿宋_GB2312" w:cs="仿宋_GB2312"/>
          <w:sz w:val="28"/>
          <w:szCs w:val="28"/>
        </w:rPr>
        <w:t>%；政府性基金预算</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万元，占</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%；国有资本经营预算</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万元，占</w:t>
      </w:r>
      <w:r>
        <w:rPr>
          <w:rFonts w:hint="eastAsia" w:ascii="仿宋_GB2312" w:hAnsi="仿宋_GB2312" w:eastAsia="仿宋_GB2312" w:cs="仿宋_GB2312"/>
          <w:sz w:val="28"/>
          <w:szCs w:val="28"/>
          <w:u w:val="single"/>
        </w:rPr>
        <w:t xml:space="preserve">0 </w:t>
      </w:r>
      <w:r>
        <w:rPr>
          <w:rFonts w:hint="eastAsia" w:ascii="仿宋_GB2312" w:hAnsi="仿宋_GB2312" w:eastAsia="仿宋_GB2312" w:cs="仿宋_GB2312"/>
          <w:sz w:val="28"/>
          <w:szCs w:val="28"/>
        </w:rPr>
        <w:t>%；纳入财政专户的教育收</w:t>
      </w:r>
      <w:r>
        <w:rPr>
          <w:rFonts w:hint="eastAsia" w:ascii="仿宋_GB2312" w:hAnsi="仿宋_GB2312" w:eastAsia="仿宋_GB2312" w:cs="仿宋_GB2312"/>
          <w:spacing w:val="-20"/>
          <w:sz w:val="28"/>
          <w:szCs w:val="28"/>
        </w:rPr>
        <w:t>费拨款</w:t>
      </w:r>
      <w:r>
        <w:rPr>
          <w:rFonts w:hint="eastAsia" w:ascii="仿宋_GB2312" w:hAnsi="仿宋_GB2312" w:eastAsia="仿宋_GB2312" w:cs="仿宋_GB2312"/>
          <w:spacing w:val="-20"/>
          <w:sz w:val="28"/>
          <w:szCs w:val="28"/>
          <w:u w:val="single"/>
        </w:rPr>
        <w:t xml:space="preserve"> 0</w:t>
      </w:r>
      <w:r>
        <w:rPr>
          <w:rFonts w:hint="eastAsia" w:ascii="仿宋_GB2312" w:hAnsi="仿宋_GB2312" w:eastAsia="仿宋_GB2312" w:cs="仿宋_GB2312"/>
          <w:spacing w:val="-20"/>
          <w:sz w:val="28"/>
          <w:szCs w:val="28"/>
        </w:rPr>
        <w:t>万元，占</w:t>
      </w:r>
      <w:r>
        <w:rPr>
          <w:rFonts w:hint="eastAsia" w:ascii="仿宋_GB2312" w:hAnsi="仿宋_GB2312" w:eastAsia="仿宋_GB2312" w:cs="仿宋_GB2312"/>
          <w:spacing w:val="-20"/>
          <w:sz w:val="28"/>
          <w:szCs w:val="28"/>
          <w:u w:val="single"/>
        </w:rPr>
        <w:t>0</w:t>
      </w:r>
      <w:r>
        <w:rPr>
          <w:rFonts w:hint="eastAsia" w:ascii="仿宋_GB2312" w:hAnsi="仿宋_GB2312" w:eastAsia="仿宋_GB2312" w:cs="仿宋_GB2312"/>
          <w:spacing w:val="-20"/>
          <w:sz w:val="28"/>
          <w:szCs w:val="28"/>
        </w:rPr>
        <w:t>%；其他事业收入</w:t>
      </w:r>
      <w:r>
        <w:rPr>
          <w:rFonts w:hint="eastAsia" w:ascii="仿宋_GB2312" w:hAnsi="仿宋_GB2312" w:eastAsia="仿宋_GB2312" w:cs="仿宋_GB2312"/>
          <w:spacing w:val="-20"/>
          <w:sz w:val="28"/>
          <w:szCs w:val="28"/>
          <w:u w:val="single"/>
        </w:rPr>
        <w:t>0</w:t>
      </w:r>
      <w:r>
        <w:rPr>
          <w:rFonts w:hint="eastAsia" w:ascii="仿宋_GB2312" w:hAnsi="仿宋_GB2312" w:eastAsia="仿宋_GB2312" w:cs="仿宋_GB2312"/>
          <w:spacing w:val="-20"/>
          <w:sz w:val="28"/>
          <w:szCs w:val="28"/>
        </w:rPr>
        <w:t>万元，占</w:t>
      </w:r>
      <w:r>
        <w:rPr>
          <w:rFonts w:hint="eastAsia" w:ascii="仿宋_GB2312" w:hAnsi="仿宋_GB2312" w:eastAsia="仿宋_GB2312" w:cs="仿宋_GB2312"/>
          <w:spacing w:val="-20"/>
          <w:sz w:val="28"/>
          <w:szCs w:val="28"/>
          <w:u w:val="single"/>
        </w:rPr>
        <w:t>0</w:t>
      </w:r>
      <w:r>
        <w:rPr>
          <w:rFonts w:hint="eastAsia" w:ascii="仿宋_GB2312" w:hAnsi="仿宋_GB2312" w:eastAsia="仿宋_GB2312" w:cs="仿宋_GB2312"/>
          <w:spacing w:val="-20"/>
          <w:sz w:val="28"/>
          <w:szCs w:val="28"/>
        </w:rPr>
        <w:t>%；经营收入</w:t>
      </w:r>
      <w:r>
        <w:rPr>
          <w:rFonts w:hint="eastAsia" w:ascii="仿宋_GB2312" w:hAnsi="仿宋_GB2312" w:eastAsia="仿宋_GB2312" w:cs="仿宋_GB2312"/>
          <w:spacing w:val="-20"/>
          <w:sz w:val="28"/>
          <w:szCs w:val="28"/>
          <w:u w:val="single"/>
        </w:rPr>
        <w:t>0</w:t>
      </w:r>
      <w:r>
        <w:rPr>
          <w:rFonts w:hint="eastAsia" w:ascii="仿宋_GB2312" w:hAnsi="仿宋_GB2312" w:eastAsia="仿宋_GB2312" w:cs="仿宋_GB2312"/>
          <w:sz w:val="28"/>
          <w:szCs w:val="28"/>
        </w:rPr>
        <w:t>万元，占</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%；上级补助收入</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万元，占</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%；附属单位上缴收入</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万元，占</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%；其他收入</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万元，占</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w:t>
      </w:r>
    </w:p>
    <w:p w14:paraId="5DB221CC">
      <w:pPr>
        <w:spacing w:line="600" w:lineRule="exact"/>
        <w:rPr>
          <w:rFonts w:ascii="黑体" w:hAnsi="黑体" w:eastAsia="黑体" w:cs="黑体"/>
          <w:sz w:val="28"/>
          <w:szCs w:val="28"/>
        </w:rPr>
      </w:pPr>
      <w:bookmarkStart w:id="6" w:name="_Toc78784573"/>
      <w:r>
        <w:rPr>
          <w:rFonts w:hint="eastAsia" w:ascii="仿宋_GB2312" w:hAnsi="仿宋_GB2312" w:eastAsia="仿宋_GB2312" w:cs="仿宋_GB2312"/>
          <w:sz w:val="28"/>
          <w:szCs w:val="28"/>
        </w:rPr>
        <w:t xml:space="preserve">   </w:t>
      </w:r>
      <w:r>
        <w:rPr>
          <w:rFonts w:hint="eastAsia" w:ascii="黑体" w:hAnsi="黑体" w:eastAsia="黑体" w:cs="黑体"/>
          <w:sz w:val="28"/>
          <w:szCs w:val="28"/>
        </w:rPr>
        <w:t xml:space="preserve"> 三、</w:t>
      </w:r>
      <w:bookmarkEnd w:id="6"/>
      <w:r>
        <w:rPr>
          <w:rFonts w:hint="eastAsia" w:ascii="黑体" w:hAnsi="黑体" w:eastAsia="黑体" w:cs="黑体"/>
          <w:sz w:val="28"/>
          <w:szCs w:val="28"/>
        </w:rPr>
        <w:t>关于2025年支出预算总表的说明</w:t>
      </w:r>
    </w:p>
    <w:p w14:paraId="51ADD395">
      <w:pPr>
        <w:spacing w:line="6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本部门2025年支出预算</w:t>
      </w:r>
      <w:r>
        <w:rPr>
          <w:rFonts w:hint="eastAsia" w:ascii="仿宋_GB2312" w:hAnsi="仿宋_GB2312" w:eastAsia="仿宋_GB2312" w:cs="仿宋_GB2312"/>
          <w:sz w:val="28"/>
          <w:szCs w:val="28"/>
          <w:u w:val="single"/>
        </w:rPr>
        <w:t>1137.37</w:t>
      </w:r>
      <w:r>
        <w:rPr>
          <w:rFonts w:hint="eastAsia" w:ascii="仿宋_GB2312" w:hAnsi="仿宋_GB2312" w:eastAsia="仿宋_GB2312" w:cs="仿宋_GB2312"/>
          <w:sz w:val="28"/>
          <w:szCs w:val="28"/>
        </w:rPr>
        <w:t>万元，与2024年预算相比减少</w:t>
      </w:r>
      <w:r>
        <w:rPr>
          <w:rFonts w:hint="eastAsia" w:ascii="仿宋_GB2312" w:hAnsi="仿宋_GB2312" w:eastAsia="仿宋_GB2312" w:cs="仿宋_GB2312"/>
          <w:sz w:val="28"/>
          <w:szCs w:val="28"/>
          <w:u w:val="single"/>
        </w:rPr>
        <w:t>170.05</w:t>
      </w:r>
      <w:r>
        <w:rPr>
          <w:rFonts w:hint="eastAsia" w:ascii="仿宋_GB2312" w:hAnsi="仿宋_GB2312" w:eastAsia="仿宋_GB2312" w:cs="仿宋_GB2312"/>
          <w:sz w:val="28"/>
          <w:szCs w:val="28"/>
        </w:rPr>
        <w:t>万元，主要原因是</w:t>
      </w:r>
      <w:r>
        <w:rPr>
          <w:rFonts w:hint="eastAsia" w:ascii="仿宋_GB2312" w:hAnsi="仿宋_GB2312" w:eastAsia="仿宋_GB2312" w:cs="仿宋_GB2312"/>
          <w:sz w:val="28"/>
          <w:szCs w:val="28"/>
          <w:u w:val="single"/>
        </w:rPr>
        <w:t>按年度业务情况安排，压减支出</w:t>
      </w:r>
      <w:r>
        <w:rPr>
          <w:rFonts w:hint="eastAsia" w:ascii="仿宋_GB2312" w:hAnsi="仿宋_GB2312" w:eastAsia="仿宋_GB2312" w:cs="仿宋_GB2312"/>
          <w:sz w:val="28"/>
          <w:szCs w:val="28"/>
        </w:rPr>
        <w:t>。其中：基本支出</w:t>
      </w:r>
      <w:r>
        <w:rPr>
          <w:rFonts w:hint="eastAsia" w:ascii="仿宋_GB2312" w:hAnsi="仿宋_GB2312" w:eastAsia="仿宋_GB2312" w:cs="仿宋_GB2312"/>
          <w:sz w:val="28"/>
          <w:szCs w:val="28"/>
          <w:u w:val="single"/>
        </w:rPr>
        <w:t>537.45</w:t>
      </w:r>
      <w:r>
        <w:rPr>
          <w:rFonts w:hint="eastAsia" w:ascii="仿宋_GB2312" w:hAnsi="仿宋_GB2312" w:eastAsia="仿宋_GB2312" w:cs="仿宋_GB2312"/>
          <w:sz w:val="28"/>
          <w:szCs w:val="28"/>
        </w:rPr>
        <w:t>万元，占</w:t>
      </w:r>
      <w:r>
        <w:rPr>
          <w:rFonts w:hint="eastAsia" w:ascii="仿宋_GB2312" w:hAnsi="仿宋_GB2312" w:eastAsia="仿宋_GB2312" w:cs="仿宋_GB2312"/>
          <w:sz w:val="28"/>
          <w:szCs w:val="28"/>
          <w:u w:val="single"/>
        </w:rPr>
        <w:t>47.25</w:t>
      </w:r>
      <w:r>
        <w:rPr>
          <w:rFonts w:hint="eastAsia" w:ascii="仿宋_GB2312" w:hAnsi="仿宋_GB2312" w:eastAsia="仿宋_GB2312" w:cs="仿宋_GB2312"/>
          <w:sz w:val="28"/>
          <w:szCs w:val="28"/>
        </w:rPr>
        <w:t>%；项目支出</w:t>
      </w:r>
      <w:r>
        <w:rPr>
          <w:rFonts w:hint="eastAsia" w:ascii="仿宋_GB2312" w:hAnsi="仿宋_GB2312" w:eastAsia="仿宋_GB2312" w:cs="仿宋_GB2312"/>
          <w:sz w:val="28"/>
          <w:szCs w:val="28"/>
          <w:u w:val="single"/>
        </w:rPr>
        <w:t>599.92</w:t>
      </w:r>
      <w:r>
        <w:rPr>
          <w:rFonts w:hint="eastAsia" w:ascii="仿宋_GB2312" w:hAnsi="仿宋_GB2312" w:eastAsia="仿宋_GB2312" w:cs="仿宋_GB2312"/>
          <w:sz w:val="28"/>
          <w:szCs w:val="28"/>
        </w:rPr>
        <w:t>万元，占</w:t>
      </w:r>
      <w:r>
        <w:rPr>
          <w:rFonts w:hint="eastAsia" w:ascii="仿宋_GB2312" w:hAnsi="仿宋_GB2312" w:eastAsia="仿宋_GB2312" w:cs="仿宋_GB2312"/>
          <w:sz w:val="28"/>
          <w:szCs w:val="28"/>
          <w:u w:val="single"/>
        </w:rPr>
        <w:t>52.75</w:t>
      </w:r>
      <w:r>
        <w:rPr>
          <w:rFonts w:hint="eastAsia" w:ascii="仿宋_GB2312" w:hAnsi="仿宋_GB2312" w:eastAsia="仿宋_GB2312" w:cs="仿宋_GB2312"/>
          <w:sz w:val="28"/>
          <w:szCs w:val="28"/>
        </w:rPr>
        <w:t>%；经营支出</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万元，占</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%；上缴上级支出</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万元，占</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%；对附属单位补助支出</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万元，占</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 xml:space="preserve">%。 </w:t>
      </w:r>
    </w:p>
    <w:p w14:paraId="2103AB0E">
      <w:pPr>
        <w:spacing w:line="600" w:lineRule="exact"/>
        <w:rPr>
          <w:rFonts w:ascii="黑体" w:hAnsi="黑体" w:eastAsia="黑体" w:cs="黑体"/>
          <w:sz w:val="28"/>
          <w:szCs w:val="28"/>
        </w:rPr>
      </w:pPr>
      <w:bookmarkStart w:id="7" w:name="_Toc78784574"/>
      <w:r>
        <w:rPr>
          <w:rFonts w:hint="eastAsia" w:ascii="仿宋_GB2312" w:hAnsi="仿宋_GB2312" w:eastAsia="仿宋_GB2312" w:cs="仿宋_GB2312"/>
          <w:sz w:val="28"/>
          <w:szCs w:val="28"/>
        </w:rPr>
        <w:t xml:space="preserve">    </w:t>
      </w:r>
      <w:r>
        <w:rPr>
          <w:rFonts w:hint="eastAsia" w:ascii="黑体" w:hAnsi="黑体" w:eastAsia="黑体" w:cs="黑体"/>
          <w:sz w:val="28"/>
          <w:szCs w:val="28"/>
        </w:rPr>
        <w:t>四、</w:t>
      </w:r>
      <w:bookmarkEnd w:id="7"/>
      <w:r>
        <w:rPr>
          <w:rFonts w:hint="eastAsia" w:ascii="黑体" w:hAnsi="黑体" w:eastAsia="黑体" w:cs="黑体"/>
          <w:sz w:val="28"/>
          <w:szCs w:val="28"/>
        </w:rPr>
        <w:t>关于2025年财政拨款收支预算总表的说明</w:t>
      </w:r>
    </w:p>
    <w:p w14:paraId="4E9B22D6">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本部门2025年财政拨款收入预算</w:t>
      </w:r>
      <w:r>
        <w:rPr>
          <w:rFonts w:hint="eastAsia" w:ascii="仿宋_GB2312" w:hAnsi="仿宋_GB2312" w:eastAsia="仿宋_GB2312" w:cs="仿宋_GB2312"/>
          <w:sz w:val="28"/>
          <w:szCs w:val="28"/>
          <w:u w:val="single"/>
        </w:rPr>
        <w:t>1137.37</w:t>
      </w:r>
      <w:r>
        <w:rPr>
          <w:rFonts w:hint="eastAsia" w:ascii="仿宋_GB2312" w:hAnsi="仿宋_GB2312" w:eastAsia="仿宋_GB2312" w:cs="仿宋_GB2312"/>
          <w:sz w:val="28"/>
          <w:szCs w:val="28"/>
        </w:rPr>
        <w:t>万元，与2024年预算相比减少</w:t>
      </w:r>
      <w:r>
        <w:rPr>
          <w:rFonts w:hint="eastAsia" w:ascii="仿宋_GB2312" w:hAnsi="仿宋_GB2312" w:eastAsia="仿宋_GB2312" w:cs="仿宋_GB2312"/>
          <w:sz w:val="28"/>
          <w:szCs w:val="28"/>
          <w:u w:val="single"/>
        </w:rPr>
        <w:t>170.05</w:t>
      </w:r>
      <w:r>
        <w:rPr>
          <w:rFonts w:hint="eastAsia" w:ascii="仿宋_GB2312" w:hAnsi="仿宋_GB2312" w:eastAsia="仿宋_GB2312" w:cs="仿宋_GB2312"/>
          <w:sz w:val="28"/>
          <w:szCs w:val="28"/>
        </w:rPr>
        <w:t>万元，主要原因是</w:t>
      </w:r>
      <w:r>
        <w:rPr>
          <w:rFonts w:hint="eastAsia" w:ascii="仿宋_GB2312" w:hAnsi="仿宋_GB2312" w:eastAsia="仿宋_GB2312" w:cs="仿宋_GB2312"/>
          <w:sz w:val="28"/>
          <w:szCs w:val="28"/>
          <w:u w:val="single"/>
        </w:rPr>
        <w:t>按年度业务情况安排，压减支出</w:t>
      </w:r>
      <w:r>
        <w:rPr>
          <w:rFonts w:hint="eastAsia" w:ascii="仿宋_GB2312" w:hAnsi="仿宋_GB2312" w:eastAsia="仿宋_GB2312" w:cs="仿宋_GB2312"/>
          <w:sz w:val="28"/>
          <w:szCs w:val="28"/>
        </w:rPr>
        <w:t>。收入包括：一般公共预算拨款收入</w:t>
      </w:r>
      <w:r>
        <w:rPr>
          <w:rFonts w:hint="eastAsia" w:ascii="仿宋_GB2312" w:hAnsi="仿宋_GB2312" w:eastAsia="仿宋_GB2312" w:cs="仿宋_GB2312"/>
          <w:sz w:val="28"/>
          <w:szCs w:val="28"/>
          <w:u w:val="single"/>
        </w:rPr>
        <w:t>1137.37</w:t>
      </w:r>
      <w:r>
        <w:rPr>
          <w:rFonts w:hint="eastAsia" w:ascii="仿宋_GB2312" w:hAnsi="仿宋_GB2312" w:eastAsia="仿宋_GB2312" w:cs="仿宋_GB2312"/>
          <w:sz w:val="28"/>
          <w:szCs w:val="28"/>
        </w:rPr>
        <w:t>万元、政府性基金预算拨款收入</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万元、国有资本经营预算拨款收入</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万元、上年财政结转和结余</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万元。2025年财政拨款支出预算</w:t>
      </w:r>
      <w:r>
        <w:rPr>
          <w:rFonts w:hint="eastAsia" w:ascii="仿宋_GB2312" w:hAnsi="仿宋_GB2312" w:eastAsia="仿宋_GB2312" w:cs="仿宋_GB2312"/>
          <w:sz w:val="28"/>
          <w:szCs w:val="28"/>
          <w:u w:val="single"/>
        </w:rPr>
        <w:t>1137.37</w:t>
      </w:r>
      <w:r>
        <w:rPr>
          <w:rFonts w:hint="eastAsia" w:ascii="仿宋_GB2312" w:hAnsi="仿宋_GB2312" w:eastAsia="仿宋_GB2312" w:cs="仿宋_GB2312"/>
          <w:sz w:val="28"/>
          <w:szCs w:val="28"/>
        </w:rPr>
        <w:t>万元，与2024年预算相比减少</w:t>
      </w:r>
      <w:r>
        <w:rPr>
          <w:rFonts w:hint="eastAsia" w:ascii="仿宋_GB2312" w:hAnsi="仿宋_GB2312" w:eastAsia="仿宋_GB2312" w:cs="仿宋_GB2312"/>
          <w:sz w:val="28"/>
          <w:szCs w:val="28"/>
          <w:u w:val="single"/>
        </w:rPr>
        <w:t>170.05</w:t>
      </w:r>
      <w:r>
        <w:rPr>
          <w:rFonts w:hint="eastAsia" w:ascii="仿宋_GB2312" w:hAnsi="仿宋_GB2312" w:eastAsia="仿宋_GB2312" w:cs="仿宋_GB2312"/>
          <w:sz w:val="28"/>
          <w:szCs w:val="28"/>
        </w:rPr>
        <w:t>万元，主要原因是</w:t>
      </w:r>
      <w:r>
        <w:rPr>
          <w:rFonts w:hint="eastAsia" w:ascii="仿宋_GB2312" w:hAnsi="仿宋_GB2312" w:eastAsia="仿宋_GB2312" w:cs="仿宋_GB2312"/>
          <w:sz w:val="28"/>
          <w:szCs w:val="28"/>
          <w:u w:val="single"/>
        </w:rPr>
        <w:t>按年度业务情况安排，压减支出</w:t>
      </w:r>
      <w:r>
        <w:rPr>
          <w:rFonts w:hint="eastAsia" w:ascii="仿宋_GB2312" w:hAnsi="仿宋_GB2312" w:eastAsia="仿宋_GB2312" w:cs="仿宋_GB2312"/>
          <w:sz w:val="28"/>
          <w:szCs w:val="28"/>
        </w:rPr>
        <w:t>。支出包括：一般公共服务支出</w:t>
      </w:r>
      <w:r>
        <w:rPr>
          <w:rFonts w:hint="eastAsia" w:ascii="仿宋_GB2312" w:hAnsi="仿宋_GB2312" w:eastAsia="仿宋_GB2312" w:cs="仿宋_GB2312"/>
          <w:sz w:val="28"/>
          <w:szCs w:val="28"/>
          <w:u w:val="single"/>
        </w:rPr>
        <w:t>1071.68</w:t>
      </w:r>
      <w:r>
        <w:rPr>
          <w:rFonts w:hint="eastAsia" w:ascii="仿宋_GB2312" w:hAnsi="仿宋_GB2312" w:eastAsia="仿宋_GB2312" w:cs="仿宋_GB2312"/>
          <w:sz w:val="28"/>
          <w:szCs w:val="28"/>
        </w:rPr>
        <w:t>万元，社会保障和就业支出</w:t>
      </w:r>
      <w:r>
        <w:rPr>
          <w:rFonts w:hint="eastAsia" w:ascii="仿宋_GB2312" w:hAnsi="仿宋_GB2312" w:eastAsia="仿宋_GB2312" w:cs="仿宋_GB2312"/>
          <w:sz w:val="28"/>
          <w:szCs w:val="28"/>
          <w:u w:val="single"/>
        </w:rPr>
        <w:t>46.37</w:t>
      </w:r>
      <w:r>
        <w:rPr>
          <w:rFonts w:hint="eastAsia" w:ascii="仿宋_GB2312" w:hAnsi="仿宋_GB2312" w:eastAsia="仿宋_GB2312" w:cs="仿宋_GB2312"/>
          <w:sz w:val="28"/>
          <w:szCs w:val="28"/>
        </w:rPr>
        <w:t xml:space="preserve"> 万元，卫生健康支出</w:t>
      </w:r>
      <w:r>
        <w:rPr>
          <w:rFonts w:hint="eastAsia" w:ascii="仿宋_GB2312" w:hAnsi="仿宋_GB2312" w:eastAsia="仿宋_GB2312" w:cs="仿宋_GB2312"/>
          <w:sz w:val="28"/>
          <w:szCs w:val="28"/>
          <w:u w:val="single"/>
        </w:rPr>
        <w:t>19.32</w:t>
      </w:r>
      <w:r>
        <w:rPr>
          <w:rFonts w:hint="eastAsia" w:ascii="仿宋_GB2312" w:hAnsi="仿宋_GB2312" w:eastAsia="仿宋_GB2312" w:cs="仿宋_GB2312"/>
          <w:sz w:val="28"/>
          <w:szCs w:val="28"/>
        </w:rPr>
        <w:t xml:space="preserve"> 万元。</w:t>
      </w:r>
    </w:p>
    <w:p w14:paraId="535C6CE4">
      <w:pPr>
        <w:spacing w:line="600" w:lineRule="exact"/>
        <w:rPr>
          <w:rFonts w:ascii="黑体" w:hAnsi="黑体" w:eastAsia="黑体" w:cs="黑体"/>
          <w:sz w:val="28"/>
          <w:szCs w:val="28"/>
        </w:rPr>
      </w:pPr>
      <w:bookmarkStart w:id="8" w:name="_Toc78784575"/>
      <w:r>
        <w:rPr>
          <w:rFonts w:hint="eastAsia" w:ascii="仿宋_GB2312" w:hAnsi="仿宋_GB2312" w:eastAsia="仿宋_GB2312" w:cs="仿宋_GB2312"/>
          <w:sz w:val="28"/>
          <w:szCs w:val="28"/>
        </w:rPr>
        <w:t xml:space="preserve">   </w:t>
      </w:r>
      <w:r>
        <w:rPr>
          <w:rFonts w:hint="eastAsia" w:ascii="黑体" w:hAnsi="黑体" w:eastAsia="黑体" w:cs="黑体"/>
          <w:sz w:val="28"/>
          <w:szCs w:val="28"/>
        </w:rPr>
        <w:t xml:space="preserve"> 五、</w:t>
      </w:r>
      <w:bookmarkEnd w:id="8"/>
      <w:r>
        <w:rPr>
          <w:rFonts w:hint="eastAsia" w:ascii="黑体" w:hAnsi="黑体" w:eastAsia="黑体" w:cs="黑体"/>
          <w:sz w:val="28"/>
          <w:szCs w:val="28"/>
        </w:rPr>
        <w:t>关于2025年财政拨款一般公共预算支出预算表的说明</w:t>
      </w:r>
    </w:p>
    <w:p w14:paraId="7DBC8C95">
      <w:pPr>
        <w:spacing w:line="600" w:lineRule="exact"/>
        <w:ind w:left="480" w:leftChars="200"/>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（一）总体情况</w:t>
      </w:r>
    </w:p>
    <w:p w14:paraId="7ECB13D3">
      <w:pPr>
        <w:spacing w:line="6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本部门2025年一般公共预算支出</w:t>
      </w:r>
      <w:r>
        <w:rPr>
          <w:rFonts w:hint="eastAsia" w:ascii="仿宋_GB2312" w:hAnsi="仿宋_GB2312" w:eastAsia="仿宋_GB2312" w:cs="仿宋_GB2312"/>
          <w:sz w:val="28"/>
          <w:szCs w:val="28"/>
          <w:u w:val="single"/>
        </w:rPr>
        <w:t>1137.37</w:t>
      </w:r>
      <w:r>
        <w:rPr>
          <w:rFonts w:hint="eastAsia" w:ascii="仿宋_GB2312" w:hAnsi="仿宋_GB2312" w:eastAsia="仿宋_GB2312" w:cs="仿宋_GB2312"/>
          <w:sz w:val="28"/>
          <w:szCs w:val="28"/>
        </w:rPr>
        <w:t>万元，与2024年预算相比减少</w:t>
      </w:r>
      <w:r>
        <w:rPr>
          <w:rFonts w:hint="eastAsia" w:ascii="仿宋_GB2312" w:hAnsi="仿宋_GB2312" w:eastAsia="仿宋_GB2312" w:cs="仿宋_GB2312"/>
          <w:sz w:val="28"/>
          <w:szCs w:val="28"/>
          <w:u w:val="single"/>
        </w:rPr>
        <w:t>170.05</w:t>
      </w:r>
      <w:r>
        <w:rPr>
          <w:rFonts w:hint="eastAsia" w:ascii="仿宋_GB2312" w:hAnsi="仿宋_GB2312" w:eastAsia="仿宋_GB2312" w:cs="仿宋_GB2312"/>
          <w:sz w:val="28"/>
          <w:szCs w:val="28"/>
        </w:rPr>
        <w:t>万元，主要原因是</w:t>
      </w:r>
      <w:r>
        <w:rPr>
          <w:rFonts w:hint="eastAsia" w:ascii="仿宋_GB2312" w:hAnsi="仿宋_GB2312" w:eastAsia="仿宋_GB2312" w:cs="仿宋_GB2312"/>
          <w:sz w:val="28"/>
          <w:szCs w:val="28"/>
          <w:u w:val="single"/>
        </w:rPr>
        <w:t>按年度业务情况安排，压减支出</w:t>
      </w:r>
      <w:r>
        <w:rPr>
          <w:rFonts w:hint="eastAsia" w:ascii="仿宋_GB2312" w:hAnsi="仿宋_GB2312" w:eastAsia="仿宋_GB2312" w:cs="仿宋_GB2312"/>
          <w:sz w:val="28"/>
          <w:szCs w:val="28"/>
        </w:rPr>
        <w:t>。</w:t>
      </w:r>
    </w:p>
    <w:p w14:paraId="20AAD7F0">
      <w:pPr>
        <w:spacing w:line="600" w:lineRule="exact"/>
        <w:ind w:firstLine="562" w:firstLineChars="200"/>
        <w:rPr>
          <w:rFonts w:ascii="楷体_GB2312" w:hAnsi="楷体_GB2312" w:eastAsia="楷体_GB2312" w:cs="楷体_GB2312"/>
          <w:sz w:val="28"/>
          <w:szCs w:val="28"/>
        </w:rPr>
      </w:pPr>
      <w:r>
        <w:rPr>
          <w:rFonts w:hint="eastAsia" w:ascii="楷体_GB2312" w:hAnsi="楷体_GB2312" w:eastAsia="楷体_GB2312" w:cs="楷体_GB2312"/>
          <w:b/>
          <w:bCs/>
          <w:sz w:val="28"/>
          <w:szCs w:val="28"/>
        </w:rPr>
        <w:t>（二）具体情况</w:t>
      </w:r>
    </w:p>
    <w:p w14:paraId="340AA074">
      <w:pPr>
        <w:spacing w:line="600" w:lineRule="exact"/>
        <w:ind w:firstLine="560" w:firstLineChars="200"/>
        <w:rPr>
          <w:rFonts w:ascii="仿宋_GB2312" w:hAnsi="仿宋_GB2312" w:eastAsia="仿宋_GB2312" w:cs="仿宋_GB2312"/>
          <w:sz w:val="28"/>
          <w:szCs w:val="28"/>
        </w:rPr>
      </w:pPr>
      <w:bookmarkStart w:id="9" w:name="_Toc78784576"/>
      <w:r>
        <w:rPr>
          <w:rFonts w:hint="eastAsia" w:ascii="仿宋_GB2312" w:hAnsi="仿宋_GB2312" w:eastAsia="仿宋_GB2312" w:cs="仿宋_GB2312"/>
          <w:sz w:val="28"/>
          <w:szCs w:val="28"/>
        </w:rPr>
        <w:t xml:space="preserve">1、 “一般公共服务支出” </w:t>
      </w:r>
      <w:r>
        <w:rPr>
          <w:rFonts w:hint="eastAsia" w:ascii="仿宋_GB2312" w:hAnsi="仿宋_GB2312" w:eastAsia="仿宋_GB2312" w:cs="仿宋_GB2312"/>
          <w:sz w:val="28"/>
          <w:szCs w:val="28"/>
          <w:u w:val="single"/>
        </w:rPr>
        <w:t>1071.68</w:t>
      </w:r>
      <w:r>
        <w:rPr>
          <w:rFonts w:hint="eastAsia" w:ascii="仿宋_GB2312" w:hAnsi="仿宋_GB2312" w:eastAsia="仿宋_GB2312" w:cs="仿宋_GB2312"/>
          <w:sz w:val="28"/>
          <w:szCs w:val="28"/>
        </w:rPr>
        <w:t>万元，与202</w:t>
      </w:r>
      <w:r>
        <w:rPr>
          <w:rFonts w:ascii="仿宋_GB2312" w:hAnsi="仿宋_GB2312" w:eastAsia="仿宋_GB2312" w:cs="仿宋_GB2312"/>
          <w:sz w:val="28"/>
          <w:szCs w:val="28"/>
        </w:rPr>
        <w:t>4</w:t>
      </w:r>
      <w:r>
        <w:rPr>
          <w:rFonts w:hint="eastAsia" w:ascii="仿宋_GB2312" w:hAnsi="仿宋_GB2312" w:eastAsia="仿宋_GB2312" w:cs="仿宋_GB2312"/>
          <w:sz w:val="28"/>
          <w:szCs w:val="28"/>
        </w:rPr>
        <w:t>年预算相比减少</w:t>
      </w:r>
      <w:r>
        <w:rPr>
          <w:rFonts w:ascii="仿宋_GB2312" w:hAnsi="仿宋_GB2312" w:eastAsia="仿宋_GB2312" w:cs="仿宋_GB2312"/>
          <w:sz w:val="28"/>
          <w:szCs w:val="28"/>
          <w:u w:val="single"/>
        </w:rPr>
        <w:t>170.05</w:t>
      </w:r>
      <w:r>
        <w:rPr>
          <w:rFonts w:ascii="仿宋_GB2312" w:hAnsi="仿宋_GB2312" w:eastAsia="仿宋_GB2312" w:cs="仿宋_GB2312"/>
          <w:sz w:val="28"/>
          <w:szCs w:val="28"/>
        </w:rPr>
        <w:t>万</w:t>
      </w:r>
      <w:r>
        <w:rPr>
          <w:rFonts w:hint="eastAsia" w:ascii="仿宋_GB2312" w:hAnsi="仿宋_GB2312" w:eastAsia="仿宋_GB2312" w:cs="仿宋_GB2312"/>
          <w:sz w:val="28"/>
          <w:szCs w:val="28"/>
        </w:rPr>
        <w:t>元，主要原因是</w:t>
      </w:r>
      <w:r>
        <w:rPr>
          <w:rFonts w:hint="eastAsia" w:ascii="仿宋_GB2312" w:hAnsi="仿宋_GB2312" w:eastAsia="仿宋_GB2312" w:cs="仿宋_GB2312"/>
          <w:sz w:val="28"/>
          <w:szCs w:val="28"/>
          <w:u w:val="single"/>
        </w:rPr>
        <w:t xml:space="preserve"> 按年度业务情况安排，压减支出</w:t>
      </w:r>
      <w:r>
        <w:rPr>
          <w:rFonts w:hint="eastAsia" w:ascii="仿宋_GB2312" w:hAnsi="仿宋_GB2312" w:eastAsia="仿宋_GB2312" w:cs="仿宋_GB2312"/>
          <w:sz w:val="28"/>
          <w:szCs w:val="28"/>
        </w:rPr>
        <w:t>。其中：</w:t>
      </w:r>
    </w:p>
    <w:p w14:paraId="25171C63">
      <w:pPr>
        <w:spacing w:line="6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“发展与改革事务”</w:t>
      </w:r>
      <w:r>
        <w:rPr>
          <w:rFonts w:hint="eastAsia" w:ascii="仿宋_GB2312" w:hAnsi="仿宋_GB2312" w:eastAsia="仿宋_GB2312" w:cs="仿宋_GB2312"/>
          <w:sz w:val="28"/>
          <w:szCs w:val="28"/>
          <w:u w:val="single"/>
        </w:rPr>
        <w:t xml:space="preserve"> </w:t>
      </w:r>
      <w:r>
        <w:rPr>
          <w:rFonts w:ascii="仿宋_GB2312" w:hAnsi="仿宋_GB2312" w:eastAsia="仿宋_GB2312" w:cs="仿宋_GB2312"/>
          <w:sz w:val="28"/>
          <w:szCs w:val="28"/>
          <w:u w:val="single"/>
        </w:rPr>
        <w:t>1071.68</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万元，包括：“行政运行”</w:t>
      </w:r>
      <w:r>
        <w:rPr>
          <w:rFonts w:hint="eastAsia" w:ascii="仿宋_GB2312" w:hAnsi="仿宋_GB2312" w:eastAsia="仿宋_GB2312" w:cs="仿宋_GB2312"/>
          <w:sz w:val="28"/>
          <w:szCs w:val="28"/>
          <w:u w:val="single"/>
        </w:rPr>
        <w:t>471.76</w:t>
      </w:r>
      <w:r>
        <w:rPr>
          <w:rFonts w:hint="eastAsia" w:ascii="仿宋_GB2312" w:hAnsi="仿宋_GB2312" w:eastAsia="仿宋_GB2312" w:cs="仿宋_GB2312"/>
          <w:sz w:val="28"/>
          <w:szCs w:val="28"/>
        </w:rPr>
        <w:t>万元，主要用于</w:t>
      </w:r>
      <w:r>
        <w:rPr>
          <w:rFonts w:hint="eastAsia" w:ascii="仿宋_GB2312" w:hAnsi="仿宋_GB2312" w:eastAsia="仿宋_GB2312" w:cs="仿宋_GB2312"/>
          <w:sz w:val="28"/>
          <w:szCs w:val="28"/>
          <w:u w:val="single"/>
        </w:rPr>
        <w:t>部门人员经费与公用经费</w:t>
      </w:r>
      <w:r>
        <w:rPr>
          <w:rFonts w:hint="eastAsia" w:ascii="仿宋_GB2312" w:hAnsi="仿宋_GB2312" w:eastAsia="仿宋_GB2312" w:cs="仿宋_GB2312"/>
          <w:sz w:val="28"/>
          <w:szCs w:val="28"/>
        </w:rPr>
        <w:t>；“一般行政管理事务”</w:t>
      </w:r>
      <w:r>
        <w:rPr>
          <w:rFonts w:hint="eastAsia" w:ascii="仿宋_GB2312" w:hAnsi="仿宋_GB2312" w:eastAsia="仿宋_GB2312" w:cs="仿宋_GB2312"/>
          <w:sz w:val="28"/>
          <w:szCs w:val="28"/>
          <w:u w:val="single"/>
        </w:rPr>
        <w:t xml:space="preserve"> 599.92</w:t>
      </w:r>
      <w:r>
        <w:rPr>
          <w:rFonts w:hint="eastAsia" w:ascii="仿宋_GB2312" w:hAnsi="仿宋_GB2312" w:eastAsia="仿宋_GB2312" w:cs="仿宋_GB2312"/>
          <w:sz w:val="28"/>
          <w:szCs w:val="28"/>
        </w:rPr>
        <w:t>万元，主要用于</w:t>
      </w:r>
      <w:r>
        <w:rPr>
          <w:rFonts w:hint="eastAsia" w:ascii="仿宋_GB2312" w:hAnsi="仿宋_GB2312" w:eastAsia="仿宋_GB2312" w:cs="仿宋_GB2312"/>
          <w:sz w:val="28"/>
          <w:szCs w:val="28"/>
          <w:u w:val="single"/>
        </w:rPr>
        <w:t>生态产品价值实现路径及机制设计研究、国家骨干冷链物流基地年度评估、“十四五”规划终期评估等项目</w:t>
      </w:r>
      <w:r>
        <w:rPr>
          <w:rFonts w:hint="eastAsia" w:ascii="仿宋_GB2312" w:hAnsi="仿宋_GB2312" w:eastAsia="仿宋_GB2312" w:cs="仿宋_GB2312"/>
          <w:sz w:val="28"/>
          <w:szCs w:val="28"/>
        </w:rPr>
        <w:t>。</w:t>
      </w:r>
    </w:p>
    <w:p w14:paraId="14C5E381">
      <w:pPr>
        <w:spacing w:line="6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 “社会保障和就业支出”</w:t>
      </w:r>
      <w:r>
        <w:rPr>
          <w:rFonts w:hint="eastAsia" w:ascii="仿宋_GB2312" w:hAnsi="仿宋_GB2312" w:eastAsia="仿宋_GB2312" w:cs="仿宋_GB2312"/>
          <w:sz w:val="28"/>
          <w:szCs w:val="28"/>
          <w:u w:val="single"/>
        </w:rPr>
        <w:t>46.37</w:t>
      </w:r>
      <w:r>
        <w:rPr>
          <w:rFonts w:hint="eastAsia" w:ascii="仿宋_GB2312" w:hAnsi="仿宋_GB2312" w:eastAsia="仿宋_GB2312" w:cs="仿宋_GB2312"/>
          <w:sz w:val="28"/>
          <w:szCs w:val="28"/>
        </w:rPr>
        <w:t>万元，与202</w:t>
      </w:r>
      <w:r>
        <w:rPr>
          <w:rFonts w:ascii="仿宋_GB2312" w:hAnsi="仿宋_GB2312" w:eastAsia="仿宋_GB2312" w:cs="仿宋_GB2312"/>
          <w:sz w:val="28"/>
          <w:szCs w:val="28"/>
        </w:rPr>
        <w:t>4</w:t>
      </w:r>
      <w:r>
        <w:rPr>
          <w:rFonts w:hint="eastAsia" w:ascii="仿宋_GB2312" w:hAnsi="仿宋_GB2312" w:eastAsia="仿宋_GB2312" w:cs="仿宋_GB2312"/>
          <w:sz w:val="28"/>
          <w:szCs w:val="28"/>
        </w:rPr>
        <w:t>年预算相比持平，其中：</w:t>
      </w:r>
    </w:p>
    <w:p w14:paraId="24CA984F">
      <w:pPr>
        <w:spacing w:line="6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“行政事业单位养老支出”</w:t>
      </w:r>
      <w:r>
        <w:rPr>
          <w:rFonts w:hint="eastAsia" w:ascii="仿宋_GB2312" w:hAnsi="仿宋_GB2312" w:eastAsia="仿宋_GB2312" w:cs="仿宋_GB2312"/>
          <w:sz w:val="28"/>
          <w:szCs w:val="28"/>
          <w:u w:val="single"/>
        </w:rPr>
        <w:t>46.37</w:t>
      </w:r>
      <w:r>
        <w:rPr>
          <w:rFonts w:hint="eastAsia" w:ascii="仿宋_GB2312" w:hAnsi="仿宋_GB2312" w:eastAsia="仿宋_GB2312" w:cs="仿宋_GB2312"/>
          <w:sz w:val="28"/>
          <w:szCs w:val="28"/>
        </w:rPr>
        <w:t xml:space="preserve"> 万元，包括：“机关事业单位基本养老保险缴费支出”</w:t>
      </w:r>
      <w:r>
        <w:rPr>
          <w:rFonts w:hint="eastAsia" w:ascii="仿宋_GB2312" w:hAnsi="仿宋_GB2312" w:eastAsia="仿宋_GB2312" w:cs="仿宋_GB2312"/>
          <w:sz w:val="28"/>
          <w:szCs w:val="28"/>
          <w:u w:val="single"/>
        </w:rPr>
        <w:t>30.91</w:t>
      </w:r>
      <w:r>
        <w:rPr>
          <w:rFonts w:hint="eastAsia" w:ascii="仿宋_GB2312" w:hAnsi="仿宋_GB2312" w:eastAsia="仿宋_GB2312" w:cs="仿宋_GB2312"/>
          <w:sz w:val="28"/>
          <w:szCs w:val="28"/>
        </w:rPr>
        <w:t>万元，主要用于</w:t>
      </w:r>
      <w:r>
        <w:rPr>
          <w:rFonts w:hint="eastAsia" w:ascii="仿宋_GB2312" w:hAnsi="仿宋_GB2312" w:eastAsia="仿宋_GB2312" w:cs="仿宋_GB2312"/>
          <w:sz w:val="28"/>
          <w:szCs w:val="28"/>
          <w:u w:val="single"/>
        </w:rPr>
        <w:t>部门缴纳基本养老保险</w:t>
      </w:r>
      <w:r>
        <w:rPr>
          <w:rFonts w:hint="eastAsia" w:ascii="仿宋_GB2312" w:hAnsi="仿宋_GB2312" w:eastAsia="仿宋_GB2312" w:cs="仿宋_GB2312"/>
          <w:sz w:val="28"/>
          <w:szCs w:val="28"/>
        </w:rPr>
        <w:t>；“机关事业单位职业年金缴费支出”</w:t>
      </w:r>
      <w:r>
        <w:rPr>
          <w:rFonts w:hint="eastAsia" w:ascii="仿宋_GB2312" w:hAnsi="仿宋_GB2312" w:eastAsia="仿宋_GB2312" w:cs="仿宋_GB2312"/>
          <w:sz w:val="28"/>
          <w:szCs w:val="28"/>
          <w:u w:val="single"/>
        </w:rPr>
        <w:t xml:space="preserve"> 15.46</w:t>
      </w:r>
      <w:r>
        <w:rPr>
          <w:rFonts w:hint="eastAsia" w:ascii="仿宋_GB2312" w:hAnsi="仿宋_GB2312" w:eastAsia="仿宋_GB2312" w:cs="仿宋_GB2312"/>
          <w:sz w:val="28"/>
          <w:szCs w:val="28"/>
        </w:rPr>
        <w:t>万元，主要用于</w:t>
      </w:r>
      <w:r>
        <w:rPr>
          <w:rFonts w:hint="eastAsia" w:ascii="仿宋_GB2312" w:hAnsi="仿宋_GB2312" w:eastAsia="仿宋_GB2312" w:cs="仿宋_GB2312"/>
          <w:sz w:val="28"/>
          <w:szCs w:val="28"/>
          <w:u w:val="single"/>
        </w:rPr>
        <w:t>部门缴纳职业年金</w:t>
      </w:r>
      <w:r>
        <w:rPr>
          <w:rFonts w:hint="eastAsia" w:ascii="仿宋_GB2312" w:hAnsi="仿宋_GB2312" w:eastAsia="仿宋_GB2312" w:cs="仿宋_GB2312"/>
          <w:sz w:val="28"/>
          <w:szCs w:val="28"/>
        </w:rPr>
        <w:t>。</w:t>
      </w:r>
    </w:p>
    <w:p w14:paraId="5C3FD116">
      <w:pPr>
        <w:spacing w:line="6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3、“卫生健康支出”</w:t>
      </w:r>
      <w:r>
        <w:rPr>
          <w:rFonts w:hint="eastAsia" w:ascii="仿宋_GB2312" w:hAnsi="仿宋_GB2312" w:eastAsia="仿宋_GB2312" w:cs="仿宋_GB2312"/>
          <w:sz w:val="28"/>
          <w:szCs w:val="28"/>
          <w:u w:val="single"/>
        </w:rPr>
        <w:t>19.32</w:t>
      </w:r>
      <w:r>
        <w:rPr>
          <w:rFonts w:hint="eastAsia" w:ascii="仿宋_GB2312" w:hAnsi="仿宋_GB2312" w:eastAsia="仿宋_GB2312" w:cs="仿宋_GB2312"/>
          <w:sz w:val="28"/>
          <w:szCs w:val="28"/>
        </w:rPr>
        <w:t>万元，与202</w:t>
      </w:r>
      <w:r>
        <w:rPr>
          <w:rFonts w:ascii="仿宋_GB2312" w:hAnsi="仿宋_GB2312" w:eastAsia="仿宋_GB2312" w:cs="仿宋_GB2312"/>
          <w:sz w:val="28"/>
          <w:szCs w:val="28"/>
        </w:rPr>
        <w:t>4</w:t>
      </w:r>
      <w:r>
        <w:rPr>
          <w:rFonts w:hint="eastAsia" w:ascii="仿宋_GB2312" w:hAnsi="仿宋_GB2312" w:eastAsia="仿宋_GB2312" w:cs="仿宋_GB2312"/>
          <w:sz w:val="28"/>
          <w:szCs w:val="28"/>
        </w:rPr>
        <w:t>年预算相比持平，其中：</w:t>
      </w:r>
    </w:p>
    <w:p w14:paraId="60A739BE">
      <w:pPr>
        <w:spacing w:line="6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“行政单位医疗” </w:t>
      </w:r>
      <w:r>
        <w:rPr>
          <w:rFonts w:hint="eastAsia" w:ascii="仿宋_GB2312" w:hAnsi="仿宋_GB2312" w:eastAsia="仿宋_GB2312" w:cs="仿宋_GB2312"/>
          <w:sz w:val="28"/>
          <w:szCs w:val="28"/>
          <w:u w:val="single"/>
        </w:rPr>
        <w:t>19.32</w:t>
      </w:r>
      <w:r>
        <w:rPr>
          <w:rFonts w:hint="eastAsia" w:ascii="仿宋_GB2312" w:hAnsi="仿宋_GB2312" w:eastAsia="仿宋_GB2312" w:cs="仿宋_GB2312"/>
          <w:sz w:val="28"/>
          <w:szCs w:val="28"/>
        </w:rPr>
        <w:t>万元，包括：“行政单位医疗”</w:t>
      </w:r>
      <w:r>
        <w:rPr>
          <w:rFonts w:hint="eastAsia" w:ascii="仿宋_GB2312" w:hAnsi="仿宋_GB2312" w:eastAsia="仿宋_GB2312" w:cs="仿宋_GB2312"/>
          <w:sz w:val="28"/>
          <w:szCs w:val="28"/>
          <w:u w:val="single"/>
        </w:rPr>
        <w:t>19.32</w:t>
      </w:r>
      <w:r>
        <w:rPr>
          <w:rFonts w:hint="eastAsia" w:ascii="仿宋_GB2312" w:hAnsi="仿宋_GB2312" w:eastAsia="仿宋_GB2312" w:cs="仿宋_GB2312"/>
          <w:sz w:val="28"/>
          <w:szCs w:val="28"/>
        </w:rPr>
        <w:t>万元，主要用于</w:t>
      </w:r>
      <w:r>
        <w:rPr>
          <w:rFonts w:hint="eastAsia" w:ascii="仿宋_GB2312" w:hAnsi="仿宋_GB2312" w:eastAsia="仿宋_GB2312" w:cs="仿宋_GB2312"/>
          <w:sz w:val="28"/>
          <w:szCs w:val="28"/>
          <w:u w:val="single"/>
        </w:rPr>
        <w:t xml:space="preserve">部门基本医疗保险缴费 </w:t>
      </w:r>
      <w:r>
        <w:rPr>
          <w:rFonts w:hint="eastAsia" w:ascii="仿宋_GB2312" w:hAnsi="仿宋_GB2312" w:eastAsia="仿宋_GB2312" w:cs="仿宋_GB2312"/>
          <w:sz w:val="28"/>
          <w:szCs w:val="28"/>
        </w:rPr>
        <w:t>。</w:t>
      </w:r>
    </w:p>
    <w:p w14:paraId="3E0F8176">
      <w:pPr>
        <w:spacing w:line="600"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黑体" w:hAnsi="黑体" w:eastAsia="黑体" w:cs="黑体"/>
          <w:sz w:val="28"/>
          <w:szCs w:val="28"/>
        </w:rPr>
        <w:t xml:space="preserve"> 六、</w:t>
      </w:r>
      <w:bookmarkEnd w:id="9"/>
      <w:r>
        <w:rPr>
          <w:rFonts w:hint="eastAsia" w:ascii="黑体" w:hAnsi="黑体" w:eastAsia="黑体" w:cs="黑体"/>
          <w:sz w:val="28"/>
          <w:szCs w:val="28"/>
        </w:rPr>
        <w:t>关于2025年财政拨款一般公共预算基本支出预算表的说明</w:t>
      </w:r>
    </w:p>
    <w:p w14:paraId="72BD9DFD">
      <w:pPr>
        <w:spacing w:line="6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本部门一般公共预算基本支出</w:t>
      </w:r>
      <w:r>
        <w:rPr>
          <w:rFonts w:hint="eastAsia" w:ascii="仿宋_GB2312" w:hAnsi="仿宋_GB2312" w:eastAsia="仿宋_GB2312" w:cs="仿宋_GB2312"/>
          <w:sz w:val="28"/>
          <w:szCs w:val="28"/>
          <w:u w:val="single"/>
        </w:rPr>
        <w:t>537.45</w:t>
      </w:r>
      <w:r>
        <w:rPr>
          <w:rFonts w:hint="eastAsia" w:ascii="仿宋_GB2312" w:hAnsi="仿宋_GB2312" w:eastAsia="仿宋_GB2312" w:cs="仿宋_GB2312"/>
          <w:sz w:val="28"/>
          <w:szCs w:val="28"/>
        </w:rPr>
        <w:t>万元，与2024年预算相比增加</w:t>
      </w:r>
      <w:r>
        <w:rPr>
          <w:rFonts w:hint="eastAsia" w:ascii="仿宋_GB2312" w:hAnsi="仿宋_GB2312" w:eastAsia="仿宋_GB2312" w:cs="仿宋_GB2312"/>
          <w:sz w:val="28"/>
          <w:szCs w:val="28"/>
          <w:u w:val="single"/>
        </w:rPr>
        <w:t>30.03</w:t>
      </w:r>
      <w:r>
        <w:rPr>
          <w:rFonts w:hint="eastAsia" w:ascii="仿宋_GB2312" w:hAnsi="仿宋_GB2312" w:eastAsia="仿宋_GB2312" w:cs="仿宋_GB2312"/>
          <w:sz w:val="28"/>
          <w:szCs w:val="28"/>
        </w:rPr>
        <w:t>万元，主要原因是</w:t>
      </w:r>
      <w:r>
        <w:rPr>
          <w:rFonts w:hint="eastAsia" w:ascii="仿宋_GB2312" w:hAnsi="仿宋_GB2312" w:eastAsia="仿宋_GB2312" w:cs="仿宋_GB2312"/>
          <w:sz w:val="28"/>
          <w:szCs w:val="28"/>
          <w:u w:val="single"/>
        </w:rPr>
        <w:t>授薪人员增加</w:t>
      </w:r>
      <w:r>
        <w:rPr>
          <w:rFonts w:hint="eastAsia" w:ascii="仿宋_GB2312" w:hAnsi="仿宋_GB2312" w:eastAsia="仿宋_GB2312" w:cs="仿宋_GB2312"/>
          <w:sz w:val="28"/>
          <w:szCs w:val="28"/>
        </w:rPr>
        <w:t>。其中：</w:t>
      </w:r>
    </w:p>
    <w:p w14:paraId="6324966A">
      <w:pPr>
        <w:spacing w:line="600" w:lineRule="exact"/>
        <w:ind w:firstLine="560" w:firstLineChars="200"/>
        <w:rPr>
          <w:rFonts w:ascii="仿宋_GB2312" w:hAnsi="仿宋_GB2312" w:eastAsia="仿宋_GB2312" w:cs="仿宋_GB2312"/>
          <w:color w:val="FF0000"/>
          <w:sz w:val="28"/>
          <w:szCs w:val="28"/>
        </w:rPr>
      </w:pPr>
      <w:r>
        <w:rPr>
          <w:rFonts w:hint="eastAsia" w:ascii="仿宋_GB2312" w:hAnsi="仿宋_GB2312" w:eastAsia="仿宋_GB2312" w:cs="仿宋_GB2312"/>
          <w:sz w:val="28"/>
          <w:szCs w:val="28"/>
        </w:rPr>
        <w:t>人员经费</w:t>
      </w:r>
      <w:r>
        <w:rPr>
          <w:rFonts w:hint="eastAsia" w:ascii="仿宋_GB2312" w:hAnsi="仿宋_GB2312" w:eastAsia="仿宋_GB2312" w:cs="仿宋_GB2312"/>
          <w:sz w:val="28"/>
          <w:szCs w:val="28"/>
          <w:u w:val="single"/>
        </w:rPr>
        <w:t xml:space="preserve">514.01 </w:t>
      </w:r>
      <w:r>
        <w:rPr>
          <w:rFonts w:hint="eastAsia" w:ascii="仿宋_GB2312" w:hAnsi="仿宋_GB2312" w:eastAsia="仿宋_GB2312" w:cs="仿宋_GB2312"/>
          <w:sz w:val="28"/>
          <w:szCs w:val="28"/>
        </w:rPr>
        <w:t>万元，主要包括：</w:t>
      </w:r>
      <w:r>
        <w:rPr>
          <w:rFonts w:hint="eastAsia" w:ascii="仿宋_GB2312" w:hAnsi="仿宋_GB2312" w:eastAsia="仿宋_GB2312" w:cs="仿宋_GB2312"/>
          <w:sz w:val="28"/>
          <w:szCs w:val="28"/>
          <w:u w:val="single"/>
        </w:rPr>
        <w:t>基本工资、津贴补贴、住房公积金、机关事业单位基本养老保险缴费、职业年金缴费、职工基本医疗保险缴费、其他社会保障缴费</w:t>
      </w:r>
      <w:r>
        <w:rPr>
          <w:rFonts w:hint="eastAsia" w:ascii="仿宋_GB2312" w:hAnsi="仿宋_GB2312" w:eastAsia="仿宋_GB2312" w:cs="仿宋_GB2312"/>
          <w:sz w:val="28"/>
          <w:szCs w:val="28"/>
        </w:rPr>
        <w:t>。</w:t>
      </w:r>
    </w:p>
    <w:p w14:paraId="4780FC1D">
      <w:pPr>
        <w:spacing w:line="6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公用经费</w:t>
      </w:r>
      <w:r>
        <w:rPr>
          <w:rFonts w:hint="eastAsia" w:ascii="仿宋_GB2312" w:hAnsi="仿宋_GB2312" w:eastAsia="仿宋_GB2312" w:cs="仿宋_GB2312"/>
          <w:sz w:val="28"/>
          <w:szCs w:val="28"/>
          <w:u w:val="single"/>
        </w:rPr>
        <w:t>2</w:t>
      </w:r>
      <w:r>
        <w:rPr>
          <w:rFonts w:ascii="仿宋_GB2312" w:hAnsi="仿宋_GB2312" w:eastAsia="仿宋_GB2312" w:cs="仿宋_GB2312"/>
          <w:sz w:val="28"/>
          <w:szCs w:val="28"/>
          <w:u w:val="single"/>
        </w:rPr>
        <w:t>3</w:t>
      </w:r>
      <w:r>
        <w:rPr>
          <w:rFonts w:hint="eastAsia" w:ascii="仿宋_GB2312" w:hAnsi="仿宋_GB2312" w:eastAsia="仿宋_GB2312" w:cs="仿宋_GB2312"/>
          <w:sz w:val="28"/>
          <w:szCs w:val="28"/>
          <w:u w:val="single"/>
        </w:rPr>
        <w:t>.44</w:t>
      </w:r>
      <w:r>
        <w:rPr>
          <w:rFonts w:hint="eastAsia" w:ascii="仿宋_GB2312" w:hAnsi="仿宋_GB2312" w:eastAsia="仿宋_GB2312" w:cs="仿宋_GB2312"/>
          <w:sz w:val="28"/>
          <w:szCs w:val="28"/>
        </w:rPr>
        <w:t>万元，主要包括：</w:t>
      </w:r>
      <w:bookmarkStart w:id="10" w:name="_Toc78784577"/>
      <w:r>
        <w:rPr>
          <w:rFonts w:hint="eastAsia" w:ascii="仿宋_GB2312" w:hAnsi="仿宋_GB2312" w:eastAsia="仿宋_GB2312" w:cs="仿宋_GB2312"/>
          <w:sz w:val="28"/>
          <w:szCs w:val="28"/>
          <w:u w:val="single"/>
        </w:rPr>
        <w:t>办公费、其他交通费用</w:t>
      </w:r>
      <w:r>
        <w:rPr>
          <w:rFonts w:hint="eastAsia" w:ascii="仿宋_GB2312" w:hAnsi="仿宋_GB2312" w:eastAsia="仿宋_GB2312" w:cs="仿宋_GB2312"/>
          <w:sz w:val="28"/>
          <w:szCs w:val="28"/>
        </w:rPr>
        <w:t>。</w:t>
      </w:r>
    </w:p>
    <w:p w14:paraId="4C7C6783">
      <w:pPr>
        <w:spacing w:line="600" w:lineRule="exact"/>
        <w:rPr>
          <w:rFonts w:ascii="黑体" w:hAnsi="黑体" w:eastAsia="黑体" w:cs="黑体"/>
          <w:spacing w:val="-20"/>
          <w:sz w:val="28"/>
          <w:szCs w:val="28"/>
        </w:rPr>
      </w:pPr>
      <w:r>
        <w:rPr>
          <w:rFonts w:hint="eastAsia" w:ascii="仿宋_GB2312" w:hAnsi="仿宋_GB2312" w:eastAsia="仿宋_GB2312" w:cs="仿宋_GB2312"/>
          <w:sz w:val="28"/>
          <w:szCs w:val="28"/>
        </w:rPr>
        <w:t xml:space="preserve">   </w:t>
      </w:r>
      <w:r>
        <w:rPr>
          <w:rFonts w:hint="eastAsia" w:ascii="黑体" w:hAnsi="黑体" w:eastAsia="黑体" w:cs="黑体"/>
          <w:sz w:val="28"/>
          <w:szCs w:val="28"/>
        </w:rPr>
        <w:t xml:space="preserve"> </w:t>
      </w:r>
      <w:r>
        <w:rPr>
          <w:rFonts w:hint="eastAsia" w:ascii="黑体" w:hAnsi="黑体" w:eastAsia="黑体" w:cs="黑体"/>
          <w:spacing w:val="-20"/>
          <w:sz w:val="28"/>
          <w:szCs w:val="28"/>
        </w:rPr>
        <w:t>七、关于2025年财政拨款一般公共预算“三公”经费支出预算表的说明</w:t>
      </w:r>
    </w:p>
    <w:p w14:paraId="223D53D6">
      <w:pPr>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2025年一般公共预算“三公”经费安排</w:t>
      </w:r>
      <w:r>
        <w:rPr>
          <w:rFonts w:hint="eastAsia" w:ascii="仿宋_GB2312" w:hAnsi="仿宋_GB2312" w:eastAsia="仿宋_GB2312" w:cs="仿宋_GB2312"/>
          <w:color w:val="000000"/>
          <w:sz w:val="28"/>
          <w:szCs w:val="28"/>
          <w:u w:val="single"/>
        </w:rPr>
        <w:t>0</w:t>
      </w:r>
      <w:r>
        <w:rPr>
          <w:rFonts w:hint="eastAsia" w:ascii="仿宋_GB2312" w:hAnsi="仿宋_GB2312" w:eastAsia="仿宋_GB2312" w:cs="仿宋_GB2312"/>
          <w:color w:val="000000"/>
          <w:sz w:val="28"/>
          <w:szCs w:val="28"/>
        </w:rPr>
        <w:t>万元，与2024年预算相比增加（减少）</w:t>
      </w:r>
      <w:r>
        <w:rPr>
          <w:rFonts w:hint="eastAsia" w:ascii="仿宋_GB2312" w:hAnsi="仿宋_GB2312" w:eastAsia="仿宋_GB2312" w:cs="仿宋_GB2312"/>
          <w:color w:val="000000"/>
          <w:sz w:val="28"/>
          <w:szCs w:val="28"/>
          <w:u w:val="single"/>
        </w:rPr>
        <w:t>0</w:t>
      </w:r>
      <w:r>
        <w:rPr>
          <w:rFonts w:hint="eastAsia" w:ascii="仿宋_GB2312" w:hAnsi="仿宋_GB2312" w:eastAsia="仿宋_GB2312" w:cs="仿宋_GB2312"/>
          <w:color w:val="000000"/>
          <w:sz w:val="28"/>
          <w:szCs w:val="28"/>
        </w:rPr>
        <w:t>万元，主要原因是</w:t>
      </w:r>
      <w:r>
        <w:rPr>
          <w:rFonts w:hint="eastAsia" w:ascii="仿宋_GB2312" w:hAnsi="仿宋_GB2312" w:eastAsia="仿宋_GB2312" w:cs="仿宋_GB2312"/>
          <w:color w:val="000000"/>
          <w:sz w:val="28"/>
          <w:szCs w:val="28"/>
          <w:u w:val="single"/>
        </w:rPr>
        <w:t>本部门一般公共预算未安排“三公”经费</w:t>
      </w:r>
      <w:r>
        <w:rPr>
          <w:rFonts w:hint="eastAsia" w:ascii="仿宋_GB2312" w:hAnsi="仿宋_GB2312" w:eastAsia="仿宋_GB2312" w:cs="仿宋_GB2312"/>
          <w:color w:val="000000"/>
          <w:sz w:val="28"/>
          <w:szCs w:val="28"/>
        </w:rPr>
        <w:t xml:space="preserve">。    </w:t>
      </w:r>
    </w:p>
    <w:p w14:paraId="5A9FB664">
      <w:pPr>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具体情况：</w:t>
      </w:r>
    </w:p>
    <w:p w14:paraId="5A5EE9FB">
      <w:pPr>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（一）2025年因公出国（境）费预算</w:t>
      </w:r>
      <w:r>
        <w:rPr>
          <w:rFonts w:hint="eastAsia" w:ascii="仿宋_GB2312" w:hAnsi="仿宋_GB2312" w:eastAsia="仿宋_GB2312" w:cs="仿宋_GB2312"/>
          <w:color w:val="000000"/>
          <w:sz w:val="28"/>
          <w:szCs w:val="28"/>
          <w:u w:val="single"/>
        </w:rPr>
        <w:t>0</w:t>
      </w:r>
      <w:r>
        <w:rPr>
          <w:rFonts w:hint="eastAsia" w:ascii="仿宋_GB2312" w:hAnsi="仿宋_GB2312" w:eastAsia="仿宋_GB2312" w:cs="仿宋_GB2312"/>
          <w:color w:val="000000"/>
          <w:sz w:val="28"/>
          <w:szCs w:val="28"/>
        </w:rPr>
        <w:t>万元，与2024年预算相比增加（减少）</w:t>
      </w:r>
      <w:r>
        <w:rPr>
          <w:rFonts w:hint="eastAsia" w:ascii="仿宋_GB2312" w:hAnsi="仿宋_GB2312" w:eastAsia="仿宋_GB2312" w:cs="仿宋_GB2312"/>
          <w:color w:val="000000"/>
          <w:sz w:val="28"/>
          <w:szCs w:val="28"/>
          <w:u w:val="single"/>
        </w:rPr>
        <w:t>0</w:t>
      </w:r>
      <w:r>
        <w:rPr>
          <w:rFonts w:hint="eastAsia" w:ascii="仿宋_GB2312" w:hAnsi="仿宋_GB2312" w:eastAsia="仿宋_GB2312" w:cs="仿宋_GB2312"/>
          <w:color w:val="000000"/>
          <w:sz w:val="28"/>
          <w:szCs w:val="28"/>
        </w:rPr>
        <w:t>万元，主要原因是</w:t>
      </w:r>
      <w:r>
        <w:rPr>
          <w:rFonts w:hint="eastAsia" w:ascii="仿宋_GB2312" w:hAnsi="仿宋_GB2312" w:eastAsia="仿宋_GB2312" w:cs="仿宋_GB2312"/>
          <w:color w:val="000000"/>
          <w:sz w:val="28"/>
          <w:szCs w:val="28"/>
          <w:u w:val="single"/>
        </w:rPr>
        <w:t>本部门一般公共预算未安排“三公”经费</w:t>
      </w:r>
      <w:r>
        <w:rPr>
          <w:rFonts w:hint="eastAsia" w:ascii="仿宋_GB2312" w:hAnsi="仿宋_GB2312" w:eastAsia="仿宋_GB2312" w:cs="仿宋_GB2312"/>
          <w:color w:val="000000"/>
          <w:sz w:val="28"/>
          <w:szCs w:val="28"/>
        </w:rPr>
        <w:t>。</w:t>
      </w:r>
    </w:p>
    <w:p w14:paraId="34203AD1">
      <w:pPr>
        <w:spacing w:line="600" w:lineRule="exact"/>
        <w:ind w:firstLine="560" w:firstLineChars="200"/>
        <w:jc w:val="both"/>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（二）2025年公务用车购置及运行费预算</w:t>
      </w:r>
      <w:r>
        <w:rPr>
          <w:rFonts w:hint="eastAsia" w:ascii="仿宋_GB2312" w:hAnsi="仿宋_GB2312" w:eastAsia="仿宋_GB2312" w:cs="仿宋_GB2312"/>
          <w:color w:val="000000"/>
          <w:sz w:val="28"/>
          <w:szCs w:val="28"/>
          <w:u w:val="single"/>
        </w:rPr>
        <w:t>0</w:t>
      </w:r>
      <w:r>
        <w:rPr>
          <w:rFonts w:hint="eastAsia" w:ascii="仿宋_GB2312" w:hAnsi="仿宋_GB2312" w:eastAsia="仿宋_GB2312" w:cs="仿宋_GB2312"/>
          <w:color w:val="000000"/>
          <w:sz w:val="28"/>
          <w:szCs w:val="28"/>
        </w:rPr>
        <w:t>万元，其中公务用车运行费</w:t>
      </w:r>
      <w:r>
        <w:rPr>
          <w:rFonts w:hint="eastAsia" w:ascii="仿宋_GB2312" w:hAnsi="仿宋_GB2312" w:eastAsia="仿宋_GB2312" w:cs="仿宋_GB2312"/>
          <w:color w:val="000000"/>
          <w:sz w:val="28"/>
          <w:szCs w:val="28"/>
          <w:u w:val="single"/>
        </w:rPr>
        <w:t>0</w:t>
      </w:r>
      <w:r>
        <w:rPr>
          <w:rFonts w:hint="eastAsia" w:ascii="仿宋_GB2312" w:hAnsi="仿宋_GB2312" w:eastAsia="仿宋_GB2312" w:cs="仿宋_GB2312"/>
          <w:color w:val="000000"/>
          <w:sz w:val="28"/>
          <w:szCs w:val="28"/>
        </w:rPr>
        <w:t>万元，与202</w:t>
      </w:r>
      <w:r>
        <w:rPr>
          <w:rFonts w:ascii="仿宋_GB2312" w:hAnsi="仿宋_GB2312" w:eastAsia="仿宋_GB2312" w:cs="仿宋_GB2312"/>
          <w:color w:val="000000"/>
          <w:sz w:val="28"/>
          <w:szCs w:val="28"/>
        </w:rPr>
        <w:t>4</w:t>
      </w:r>
      <w:r>
        <w:rPr>
          <w:rFonts w:hint="eastAsia" w:ascii="仿宋_GB2312" w:hAnsi="仿宋_GB2312" w:eastAsia="仿宋_GB2312" w:cs="仿宋_GB2312"/>
          <w:color w:val="000000"/>
          <w:sz w:val="28"/>
          <w:szCs w:val="28"/>
        </w:rPr>
        <w:t>年预算相比增加（减少）</w:t>
      </w:r>
      <w:r>
        <w:rPr>
          <w:rFonts w:hint="eastAsia" w:ascii="仿宋_GB2312" w:hAnsi="仿宋_GB2312" w:eastAsia="仿宋_GB2312" w:cs="仿宋_GB2312"/>
          <w:color w:val="000000"/>
          <w:sz w:val="28"/>
          <w:szCs w:val="28"/>
          <w:u w:val="single"/>
        </w:rPr>
        <w:t>0</w:t>
      </w:r>
      <w:r>
        <w:rPr>
          <w:rFonts w:hint="eastAsia" w:ascii="仿宋_GB2312" w:hAnsi="仿宋_GB2312" w:eastAsia="仿宋_GB2312" w:cs="仿宋_GB2312"/>
          <w:color w:val="000000"/>
          <w:sz w:val="28"/>
          <w:szCs w:val="28"/>
        </w:rPr>
        <w:t>万元，主要原因是</w:t>
      </w:r>
      <w:r>
        <w:rPr>
          <w:rFonts w:hint="eastAsia" w:ascii="仿宋_GB2312" w:hAnsi="仿宋_GB2312" w:eastAsia="仿宋_GB2312" w:cs="仿宋_GB2312"/>
          <w:color w:val="000000"/>
          <w:sz w:val="28"/>
          <w:szCs w:val="28"/>
          <w:u w:val="single"/>
        </w:rPr>
        <w:t>本部门一般公共预算未安排“三公”经费</w:t>
      </w:r>
      <w:r>
        <w:rPr>
          <w:rFonts w:hint="eastAsia" w:ascii="仿宋_GB2312" w:hAnsi="仿宋_GB2312" w:eastAsia="仿宋_GB2312" w:cs="仿宋_GB2312"/>
          <w:color w:val="000000"/>
          <w:sz w:val="28"/>
          <w:szCs w:val="28"/>
        </w:rPr>
        <w:t>；公务用车购置费</w:t>
      </w:r>
      <w:r>
        <w:rPr>
          <w:rFonts w:hint="eastAsia" w:ascii="仿宋_GB2312" w:hAnsi="仿宋_GB2312" w:eastAsia="仿宋_GB2312" w:cs="仿宋_GB2312"/>
          <w:color w:val="000000"/>
          <w:sz w:val="28"/>
          <w:szCs w:val="28"/>
          <w:u w:val="single"/>
        </w:rPr>
        <w:t>0</w:t>
      </w:r>
      <w:r>
        <w:rPr>
          <w:rFonts w:hint="eastAsia" w:ascii="仿宋_GB2312" w:hAnsi="仿宋_GB2312" w:eastAsia="仿宋_GB2312" w:cs="仿宋_GB2312"/>
          <w:color w:val="000000"/>
          <w:sz w:val="28"/>
          <w:szCs w:val="28"/>
        </w:rPr>
        <w:t>万元，与2024年预算相比增加（减少）</w:t>
      </w:r>
      <w:r>
        <w:rPr>
          <w:rFonts w:hint="eastAsia" w:ascii="仿宋_GB2312" w:hAnsi="仿宋_GB2312" w:eastAsia="仿宋_GB2312" w:cs="仿宋_GB2312"/>
          <w:color w:val="000000"/>
          <w:sz w:val="28"/>
          <w:szCs w:val="28"/>
          <w:u w:val="single"/>
        </w:rPr>
        <w:t>0</w:t>
      </w:r>
      <w:r>
        <w:rPr>
          <w:rFonts w:hint="eastAsia" w:ascii="仿宋_GB2312" w:hAnsi="仿宋_GB2312" w:eastAsia="仿宋_GB2312" w:cs="仿宋_GB2312"/>
          <w:color w:val="000000"/>
          <w:sz w:val="28"/>
          <w:szCs w:val="28"/>
        </w:rPr>
        <w:t>万元，主要原因是</w:t>
      </w:r>
      <w:r>
        <w:rPr>
          <w:rFonts w:hint="eastAsia" w:ascii="仿宋_GB2312" w:hAnsi="仿宋_GB2312" w:eastAsia="仿宋_GB2312" w:cs="仿宋_GB2312"/>
          <w:color w:val="000000"/>
          <w:sz w:val="28"/>
          <w:szCs w:val="28"/>
          <w:u w:val="single"/>
        </w:rPr>
        <w:t>本部门一般公共预算未安排“三公”经费</w:t>
      </w:r>
      <w:r>
        <w:rPr>
          <w:rFonts w:hint="eastAsia" w:ascii="仿宋_GB2312" w:hAnsi="仿宋_GB2312" w:eastAsia="仿宋_GB2312" w:cs="仿宋_GB2312"/>
          <w:color w:val="000000"/>
          <w:sz w:val="28"/>
          <w:szCs w:val="28"/>
        </w:rPr>
        <w:t>。</w:t>
      </w:r>
    </w:p>
    <w:p w14:paraId="5BD88033">
      <w:pPr>
        <w:spacing w:line="600" w:lineRule="exact"/>
        <w:ind w:firstLine="645"/>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（三）2025年公务接待费预算</w:t>
      </w:r>
      <w:r>
        <w:rPr>
          <w:rFonts w:hint="eastAsia" w:ascii="仿宋_GB2312" w:hAnsi="仿宋_GB2312" w:eastAsia="仿宋_GB2312" w:cs="仿宋_GB2312"/>
          <w:color w:val="000000"/>
          <w:sz w:val="28"/>
          <w:szCs w:val="28"/>
          <w:u w:val="single"/>
        </w:rPr>
        <w:t>0</w:t>
      </w:r>
      <w:r>
        <w:rPr>
          <w:rFonts w:hint="eastAsia" w:ascii="仿宋_GB2312" w:hAnsi="仿宋_GB2312" w:eastAsia="仿宋_GB2312" w:cs="仿宋_GB2312"/>
          <w:color w:val="000000"/>
          <w:sz w:val="28"/>
          <w:szCs w:val="28"/>
        </w:rPr>
        <w:t>万元，与2024年预算相比增加（减少）</w:t>
      </w:r>
      <w:r>
        <w:rPr>
          <w:rFonts w:hint="eastAsia" w:ascii="仿宋_GB2312" w:hAnsi="仿宋_GB2312" w:eastAsia="仿宋_GB2312" w:cs="仿宋_GB2312"/>
          <w:color w:val="000000"/>
          <w:sz w:val="28"/>
          <w:szCs w:val="28"/>
          <w:u w:val="single"/>
        </w:rPr>
        <w:t>0</w:t>
      </w:r>
      <w:r>
        <w:rPr>
          <w:rFonts w:hint="eastAsia" w:ascii="仿宋_GB2312" w:hAnsi="仿宋_GB2312" w:eastAsia="仿宋_GB2312" w:cs="仿宋_GB2312"/>
          <w:color w:val="000000"/>
          <w:sz w:val="28"/>
          <w:szCs w:val="28"/>
        </w:rPr>
        <w:t>万元，主要原因是</w:t>
      </w:r>
      <w:r>
        <w:rPr>
          <w:rFonts w:hint="eastAsia" w:ascii="仿宋_GB2312" w:hAnsi="仿宋_GB2312" w:eastAsia="仿宋_GB2312" w:cs="仿宋_GB2312"/>
          <w:color w:val="000000"/>
          <w:sz w:val="28"/>
          <w:szCs w:val="28"/>
          <w:u w:val="single"/>
        </w:rPr>
        <w:t>本部门一般公共预算未安排“三公”经费</w:t>
      </w:r>
      <w:r>
        <w:rPr>
          <w:rFonts w:hint="eastAsia" w:ascii="仿宋_GB2312" w:hAnsi="仿宋_GB2312" w:eastAsia="仿宋_GB2312" w:cs="仿宋_GB2312"/>
          <w:color w:val="000000"/>
          <w:sz w:val="28"/>
          <w:szCs w:val="28"/>
        </w:rPr>
        <w:t>。</w:t>
      </w:r>
    </w:p>
    <w:p w14:paraId="43D5168D">
      <w:pPr>
        <w:spacing w:line="600" w:lineRule="exact"/>
        <w:rPr>
          <w:rFonts w:ascii="黑体" w:hAnsi="黑体" w:eastAsia="黑体" w:cs="黑体"/>
          <w:color w:val="000000"/>
          <w:sz w:val="28"/>
          <w:szCs w:val="28"/>
        </w:rPr>
      </w:pPr>
      <w:r>
        <w:rPr>
          <w:rFonts w:hint="eastAsia" w:ascii="仿宋_GB2312" w:hAnsi="仿宋_GB2312" w:eastAsia="仿宋_GB2312" w:cs="仿宋_GB2312"/>
          <w:color w:val="000000"/>
          <w:sz w:val="28"/>
          <w:szCs w:val="28"/>
        </w:rPr>
        <w:t xml:space="preserve">  </w:t>
      </w:r>
      <w:r>
        <w:rPr>
          <w:rFonts w:hint="eastAsia" w:ascii="黑体" w:hAnsi="黑体" w:eastAsia="黑体" w:cs="黑体"/>
          <w:color w:val="000000"/>
          <w:sz w:val="28"/>
          <w:szCs w:val="28"/>
        </w:rPr>
        <w:t xml:space="preserve">  八、</w:t>
      </w:r>
      <w:bookmarkEnd w:id="10"/>
      <w:r>
        <w:rPr>
          <w:rFonts w:hint="eastAsia" w:ascii="黑体" w:hAnsi="黑体" w:eastAsia="黑体" w:cs="黑体"/>
          <w:color w:val="000000"/>
          <w:sz w:val="28"/>
          <w:szCs w:val="28"/>
        </w:rPr>
        <w:t>关于2025年财政拨款政府性基金预算支出预算表的说明</w:t>
      </w:r>
    </w:p>
    <w:p w14:paraId="32BF16E0">
      <w:pPr>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2024年中新天津生态城发展和改革局预算中没有使用政府性基金预算安排的支出。</w:t>
      </w:r>
    </w:p>
    <w:p w14:paraId="6B8C556D">
      <w:pPr>
        <w:spacing w:line="600" w:lineRule="exact"/>
        <w:rPr>
          <w:rFonts w:ascii="黑体" w:hAnsi="黑体" w:eastAsia="黑体" w:cs="黑体"/>
          <w:color w:val="000000"/>
          <w:sz w:val="28"/>
          <w:szCs w:val="28"/>
        </w:rPr>
      </w:pPr>
      <w:bookmarkStart w:id="11" w:name="_Toc78784578"/>
      <w:r>
        <w:rPr>
          <w:rFonts w:hint="eastAsia" w:ascii="仿宋_GB2312" w:hAnsi="仿宋_GB2312" w:eastAsia="仿宋_GB2312" w:cs="仿宋_GB2312"/>
          <w:color w:val="000000"/>
          <w:sz w:val="28"/>
          <w:szCs w:val="28"/>
        </w:rPr>
        <w:t xml:space="preserve">    </w:t>
      </w:r>
      <w:r>
        <w:rPr>
          <w:rFonts w:hint="eastAsia" w:ascii="黑体" w:hAnsi="黑体" w:eastAsia="黑体" w:cs="黑体"/>
          <w:color w:val="000000"/>
          <w:sz w:val="28"/>
          <w:szCs w:val="28"/>
        </w:rPr>
        <w:t>九、关于2025年国有资本经营预算支出预算表</w:t>
      </w:r>
      <w:bookmarkEnd w:id="11"/>
      <w:r>
        <w:rPr>
          <w:rFonts w:hint="eastAsia" w:ascii="黑体" w:hAnsi="黑体" w:eastAsia="黑体" w:cs="黑体"/>
          <w:color w:val="000000"/>
          <w:sz w:val="28"/>
          <w:szCs w:val="28"/>
        </w:rPr>
        <w:t>的说明</w:t>
      </w:r>
    </w:p>
    <w:p w14:paraId="34C9E879">
      <w:pPr>
        <w:spacing w:line="600" w:lineRule="exact"/>
        <w:ind w:firstLine="560" w:firstLineChars="200"/>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2024年中新天津生态城发展和改革局预算中没有使用国有资本经营预算安排的支出。</w:t>
      </w:r>
    </w:p>
    <w:p w14:paraId="7993CE4A">
      <w:pPr>
        <w:spacing w:line="600" w:lineRule="exact"/>
        <w:rPr>
          <w:rFonts w:ascii="仿宋_GB2312" w:hAnsi="仿宋_GB2312" w:eastAsia="仿宋_GB2312" w:cs="仿宋_GB2312"/>
          <w:sz w:val="28"/>
          <w:szCs w:val="28"/>
        </w:rPr>
      </w:pPr>
      <w:bookmarkStart w:id="12" w:name="_Toc78784579"/>
      <w:r>
        <w:rPr>
          <w:rFonts w:hint="eastAsia" w:ascii="仿宋_GB2312" w:hAnsi="仿宋_GB2312" w:eastAsia="仿宋_GB2312" w:cs="仿宋_GB2312"/>
          <w:sz w:val="28"/>
          <w:szCs w:val="28"/>
        </w:rPr>
        <w:t xml:space="preserve">    </w:t>
      </w:r>
      <w:r>
        <w:rPr>
          <w:rFonts w:hint="eastAsia" w:ascii="黑体" w:hAnsi="黑体" w:eastAsia="黑体" w:cs="黑体"/>
          <w:sz w:val="28"/>
          <w:szCs w:val="28"/>
        </w:rPr>
        <w:t>十、其他重要事项的情况说明</w:t>
      </w:r>
    </w:p>
    <w:p w14:paraId="12F0AE31">
      <w:pPr>
        <w:spacing w:line="600" w:lineRule="exact"/>
        <w:ind w:left="480" w:leftChars="200"/>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（一）机关运行经费</w:t>
      </w:r>
      <w:bookmarkEnd w:id="12"/>
    </w:p>
    <w:p w14:paraId="1BB35F73">
      <w:pPr>
        <w:spacing w:line="6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本部门2025年</w:t>
      </w:r>
      <w:r>
        <w:rPr>
          <w:rFonts w:hint="eastAsia" w:ascii="仿宋_GB2312" w:hAnsi="仿宋_GB2312" w:eastAsia="仿宋_GB2312" w:cs="仿宋_GB2312"/>
          <w:color w:val="000000"/>
          <w:sz w:val="28"/>
          <w:szCs w:val="28"/>
        </w:rPr>
        <w:t>中新天津生态城发展和改革局</w:t>
      </w:r>
      <w:r>
        <w:rPr>
          <w:rFonts w:hint="eastAsia" w:ascii="仿宋_GB2312" w:hAnsi="仿宋_GB2312" w:eastAsia="仿宋_GB2312" w:cs="仿宋_GB2312"/>
          <w:sz w:val="28"/>
          <w:szCs w:val="28"/>
        </w:rPr>
        <w:t>的机关运行经费预算</w:t>
      </w:r>
      <w:r>
        <w:rPr>
          <w:rFonts w:ascii="仿宋_GB2312" w:hAnsi="仿宋_GB2312" w:eastAsia="仿宋_GB2312" w:cs="仿宋_GB2312"/>
          <w:sz w:val="28"/>
          <w:szCs w:val="28"/>
          <w:u w:val="single"/>
        </w:rPr>
        <w:t>23.44</w:t>
      </w:r>
      <w:r>
        <w:rPr>
          <w:rFonts w:hint="eastAsia" w:ascii="仿宋_GB2312" w:hAnsi="仿宋_GB2312" w:eastAsia="仿宋_GB2312" w:cs="仿宋_GB2312"/>
          <w:sz w:val="28"/>
          <w:szCs w:val="28"/>
        </w:rPr>
        <w:t>万元，包括差旅费</w:t>
      </w:r>
      <w:r>
        <w:rPr>
          <w:rFonts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万元、印刷费</w:t>
      </w:r>
      <w:r>
        <w:rPr>
          <w:rFonts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万元、会议费</w:t>
      </w:r>
      <w:r>
        <w:rPr>
          <w:rFonts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万元、办公费</w:t>
      </w:r>
      <w:r>
        <w:rPr>
          <w:rFonts w:ascii="仿宋_GB2312" w:hAnsi="仿宋_GB2312" w:eastAsia="仿宋_GB2312" w:cs="仿宋_GB2312"/>
          <w:sz w:val="28"/>
          <w:szCs w:val="28"/>
          <w:u w:val="single"/>
        </w:rPr>
        <w:t>16.91</w:t>
      </w:r>
      <w:r>
        <w:rPr>
          <w:rFonts w:hint="eastAsia" w:ascii="仿宋_GB2312" w:hAnsi="仿宋_GB2312" w:eastAsia="仿宋_GB2312" w:cs="仿宋_GB2312"/>
          <w:sz w:val="28"/>
          <w:szCs w:val="28"/>
        </w:rPr>
        <w:t>万元、其他商品和服务支出费</w:t>
      </w:r>
      <w:r>
        <w:rPr>
          <w:rFonts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万元、培训费</w:t>
      </w:r>
      <w:r>
        <w:rPr>
          <w:rFonts w:hint="eastAsia"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万元、委托业务费</w:t>
      </w:r>
      <w:r>
        <w:rPr>
          <w:rFonts w:ascii="仿宋_GB2312" w:hAnsi="仿宋_GB2312" w:eastAsia="仿宋_GB2312" w:cs="仿宋_GB2312"/>
          <w:sz w:val="28"/>
          <w:szCs w:val="28"/>
          <w:u w:val="single"/>
        </w:rPr>
        <w:t>0</w:t>
      </w:r>
      <w:r>
        <w:rPr>
          <w:rFonts w:hint="eastAsia" w:ascii="仿宋_GB2312" w:hAnsi="仿宋_GB2312" w:eastAsia="仿宋_GB2312" w:cs="仿宋_GB2312"/>
          <w:sz w:val="28"/>
          <w:szCs w:val="28"/>
        </w:rPr>
        <w:t>万元、其他交通费用</w:t>
      </w:r>
      <w:r>
        <w:rPr>
          <w:rFonts w:ascii="仿宋_GB2312" w:hAnsi="仿宋_GB2312" w:eastAsia="仿宋_GB2312" w:cs="仿宋_GB2312"/>
          <w:sz w:val="28"/>
          <w:szCs w:val="28"/>
          <w:u w:val="single"/>
        </w:rPr>
        <w:t>6.52</w:t>
      </w:r>
      <w:r>
        <w:rPr>
          <w:rFonts w:hint="eastAsia" w:ascii="仿宋_GB2312" w:hAnsi="仿宋_GB2312" w:eastAsia="仿宋_GB2312" w:cs="仿宋_GB2312"/>
          <w:sz w:val="28"/>
          <w:szCs w:val="28"/>
        </w:rPr>
        <w:t>万元。</w:t>
      </w:r>
    </w:p>
    <w:p w14:paraId="560365C5">
      <w:pPr>
        <w:spacing w:line="600" w:lineRule="exact"/>
        <w:ind w:firstLine="562" w:firstLineChars="200"/>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（二）政府采购情况</w:t>
      </w:r>
    </w:p>
    <w:p w14:paraId="5FB1B8F8">
      <w:pPr>
        <w:spacing w:line="60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本部门2025年安排政府采购预算</w:t>
      </w:r>
      <w:r>
        <w:rPr>
          <w:rFonts w:hint="eastAsia" w:ascii="仿宋_GB2312" w:hAnsi="仿宋_GB2312" w:eastAsia="仿宋_GB2312" w:cs="仿宋_GB2312"/>
          <w:sz w:val="28"/>
          <w:szCs w:val="28"/>
          <w:u w:val="single"/>
        </w:rPr>
        <w:t xml:space="preserve"> </w:t>
      </w:r>
      <w:r>
        <w:rPr>
          <w:rFonts w:ascii="仿宋_GB2312" w:hAnsi="仿宋_GB2312" w:eastAsia="仿宋_GB2312" w:cs="仿宋_GB2312"/>
          <w:sz w:val="28"/>
          <w:szCs w:val="28"/>
          <w:u w:val="single"/>
        </w:rPr>
        <w:t>310.80</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万元，其中：政府采购货物支出</w:t>
      </w:r>
      <w:r>
        <w:rPr>
          <w:rFonts w:hint="eastAsia" w:ascii="仿宋_GB2312" w:hAnsi="仿宋_GB2312" w:eastAsia="仿宋_GB2312" w:cs="仿宋_GB2312"/>
          <w:sz w:val="28"/>
          <w:szCs w:val="28"/>
          <w:u w:val="single"/>
        </w:rPr>
        <w:t xml:space="preserve"> 0.00 </w:t>
      </w:r>
      <w:r>
        <w:rPr>
          <w:rFonts w:hint="eastAsia" w:ascii="仿宋_GB2312" w:hAnsi="仿宋_GB2312" w:eastAsia="仿宋_GB2312" w:cs="仿宋_GB2312"/>
          <w:sz w:val="28"/>
          <w:szCs w:val="28"/>
        </w:rPr>
        <w:t>万元、政府采购工程支出</w:t>
      </w:r>
      <w:r>
        <w:rPr>
          <w:rFonts w:hint="eastAsia" w:ascii="仿宋_GB2312" w:hAnsi="仿宋_GB2312" w:eastAsia="仿宋_GB2312" w:cs="仿宋_GB2312"/>
          <w:sz w:val="28"/>
          <w:szCs w:val="28"/>
          <w:u w:val="single"/>
        </w:rPr>
        <w:t xml:space="preserve"> 0.00 </w:t>
      </w:r>
      <w:r>
        <w:rPr>
          <w:rFonts w:hint="eastAsia" w:ascii="仿宋_GB2312" w:hAnsi="仿宋_GB2312" w:eastAsia="仿宋_GB2312" w:cs="仿宋_GB2312"/>
          <w:sz w:val="28"/>
          <w:szCs w:val="28"/>
        </w:rPr>
        <w:t>万元、政府采购服务支出</w:t>
      </w:r>
      <w:r>
        <w:rPr>
          <w:rFonts w:hint="eastAsia" w:ascii="仿宋_GB2312" w:hAnsi="仿宋_GB2312" w:eastAsia="仿宋_GB2312" w:cs="仿宋_GB2312"/>
          <w:sz w:val="28"/>
          <w:szCs w:val="28"/>
          <w:u w:val="single"/>
        </w:rPr>
        <w:t xml:space="preserve"> </w:t>
      </w:r>
      <w:r>
        <w:rPr>
          <w:rFonts w:ascii="仿宋_GB2312" w:hAnsi="仿宋_GB2312" w:eastAsia="仿宋_GB2312" w:cs="仿宋_GB2312"/>
          <w:sz w:val="28"/>
          <w:szCs w:val="28"/>
          <w:u w:val="single"/>
        </w:rPr>
        <w:t>310.80</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万元。主要项目是：</w:t>
      </w:r>
      <w:bookmarkStart w:id="14" w:name="_GoBack"/>
      <w:bookmarkEnd w:id="14"/>
      <w:r>
        <w:rPr>
          <w:rFonts w:hint="eastAsia" w:ascii="仿宋_GB2312" w:hAnsi="仿宋_GB2312" w:eastAsia="仿宋_GB2312" w:cs="仿宋_GB2312"/>
          <w:sz w:val="28"/>
          <w:szCs w:val="28"/>
        </w:rPr>
        <w:t>“十四五”规划终期评估</w:t>
      </w:r>
      <w:r>
        <w:rPr>
          <w:rFonts w:hint="eastAsia" w:ascii="仿宋_GB2312" w:hAnsi="仿宋_GB2312" w:eastAsia="仿宋_GB2312" w:cs="仿宋_GB2312"/>
          <w:sz w:val="28"/>
          <w:szCs w:val="28"/>
          <w:u w:val="single"/>
        </w:rPr>
        <w:t>15</w:t>
      </w:r>
      <w:r>
        <w:rPr>
          <w:rFonts w:ascii="仿宋_GB2312" w:hAnsi="仿宋_GB2312" w:eastAsia="仿宋_GB2312" w:cs="仿宋_GB2312"/>
          <w:sz w:val="28"/>
          <w:szCs w:val="28"/>
          <w:u w:val="single"/>
        </w:rPr>
        <w:t>.00</w:t>
      </w:r>
      <w:r>
        <w:rPr>
          <w:rFonts w:hint="eastAsia" w:ascii="仿宋_GB2312" w:hAnsi="仿宋_GB2312" w:eastAsia="仿宋_GB2312" w:cs="仿宋_GB2312"/>
          <w:sz w:val="28"/>
          <w:szCs w:val="28"/>
        </w:rPr>
        <w:t>万元，生态城第五次全国经济普查服务</w:t>
      </w:r>
      <w:r>
        <w:rPr>
          <w:rFonts w:hint="eastAsia" w:ascii="仿宋_GB2312" w:hAnsi="仿宋_GB2312" w:eastAsia="仿宋_GB2312" w:cs="仿宋_GB2312"/>
          <w:sz w:val="28"/>
          <w:szCs w:val="28"/>
          <w:u w:val="single"/>
        </w:rPr>
        <w:t>40</w:t>
      </w:r>
      <w:r>
        <w:rPr>
          <w:rFonts w:ascii="仿宋_GB2312" w:hAnsi="仿宋_GB2312" w:eastAsia="仿宋_GB2312" w:cs="仿宋_GB2312"/>
          <w:sz w:val="28"/>
          <w:szCs w:val="28"/>
          <w:u w:val="single"/>
        </w:rPr>
        <w:t>.00</w:t>
      </w:r>
      <w:r>
        <w:rPr>
          <w:rFonts w:hint="eastAsia" w:ascii="仿宋_GB2312" w:hAnsi="仿宋_GB2312" w:eastAsia="仿宋_GB2312" w:cs="仿宋_GB2312"/>
          <w:sz w:val="28"/>
          <w:szCs w:val="28"/>
        </w:rPr>
        <w:t>万元，全域场景研究</w:t>
      </w:r>
      <w:r>
        <w:rPr>
          <w:rFonts w:hint="eastAsia" w:ascii="仿宋_GB2312" w:hAnsi="仿宋_GB2312" w:eastAsia="仿宋_GB2312" w:cs="仿宋_GB2312"/>
          <w:sz w:val="28"/>
          <w:szCs w:val="28"/>
          <w:u w:val="single"/>
        </w:rPr>
        <w:t>40</w:t>
      </w:r>
      <w:r>
        <w:rPr>
          <w:rFonts w:ascii="仿宋_GB2312" w:hAnsi="仿宋_GB2312" w:eastAsia="仿宋_GB2312" w:cs="仿宋_GB2312"/>
          <w:sz w:val="28"/>
          <w:szCs w:val="28"/>
          <w:u w:val="single"/>
        </w:rPr>
        <w:t>.00</w:t>
      </w:r>
      <w:r>
        <w:rPr>
          <w:rFonts w:hint="eastAsia" w:ascii="仿宋_GB2312" w:hAnsi="仿宋_GB2312" w:eastAsia="仿宋_GB2312" w:cs="仿宋_GB2312"/>
          <w:sz w:val="28"/>
          <w:szCs w:val="28"/>
        </w:rPr>
        <w:t>万元，生态产品价值实现路径及机制设计研究</w:t>
      </w:r>
      <w:r>
        <w:rPr>
          <w:rFonts w:hint="eastAsia" w:ascii="仿宋_GB2312" w:hAnsi="仿宋_GB2312" w:eastAsia="仿宋_GB2312" w:cs="仿宋_GB2312"/>
          <w:sz w:val="28"/>
          <w:szCs w:val="28"/>
          <w:u w:val="single"/>
        </w:rPr>
        <w:tab/>
      </w:r>
      <w:r>
        <w:rPr>
          <w:rFonts w:hint="eastAsia" w:ascii="仿宋_GB2312" w:hAnsi="仿宋_GB2312" w:eastAsia="仿宋_GB2312" w:cs="仿宋_GB2312"/>
          <w:sz w:val="28"/>
          <w:szCs w:val="28"/>
          <w:u w:val="single"/>
        </w:rPr>
        <w:t>50</w:t>
      </w:r>
      <w:r>
        <w:rPr>
          <w:rFonts w:ascii="仿宋_GB2312" w:hAnsi="仿宋_GB2312" w:eastAsia="仿宋_GB2312" w:cs="仿宋_GB2312"/>
          <w:sz w:val="28"/>
          <w:szCs w:val="28"/>
          <w:u w:val="single"/>
        </w:rPr>
        <w:t>.00</w:t>
      </w:r>
      <w:r>
        <w:rPr>
          <w:rFonts w:hint="eastAsia" w:ascii="仿宋_GB2312" w:hAnsi="仿宋_GB2312" w:eastAsia="仿宋_GB2312" w:cs="仿宋_GB2312"/>
          <w:sz w:val="28"/>
          <w:szCs w:val="28"/>
        </w:rPr>
        <w:t>万元，绿色低碳先行区项目</w:t>
      </w:r>
      <w:r>
        <w:rPr>
          <w:rFonts w:hint="eastAsia" w:ascii="仿宋_GB2312" w:hAnsi="仿宋_GB2312" w:eastAsia="仿宋_GB2312" w:cs="仿宋_GB2312"/>
          <w:sz w:val="28"/>
          <w:szCs w:val="28"/>
          <w:u w:val="single"/>
        </w:rPr>
        <w:tab/>
      </w:r>
      <w:r>
        <w:rPr>
          <w:rFonts w:hint="eastAsia" w:ascii="仿宋_GB2312" w:hAnsi="仿宋_GB2312" w:eastAsia="仿宋_GB2312" w:cs="仿宋_GB2312"/>
          <w:sz w:val="28"/>
          <w:szCs w:val="28"/>
          <w:u w:val="single"/>
        </w:rPr>
        <w:t>40</w:t>
      </w:r>
      <w:r>
        <w:rPr>
          <w:rFonts w:ascii="仿宋_GB2312" w:hAnsi="仿宋_GB2312" w:eastAsia="仿宋_GB2312" w:cs="仿宋_GB2312"/>
          <w:sz w:val="28"/>
          <w:szCs w:val="28"/>
          <w:u w:val="single"/>
        </w:rPr>
        <w:t>.00</w:t>
      </w:r>
      <w:r>
        <w:rPr>
          <w:rFonts w:hint="eastAsia" w:ascii="仿宋_GB2312" w:hAnsi="仿宋_GB2312" w:eastAsia="仿宋_GB2312" w:cs="仿宋_GB2312"/>
          <w:sz w:val="28"/>
          <w:szCs w:val="28"/>
        </w:rPr>
        <w:t>万元，国际标准研制</w:t>
      </w:r>
      <w:r>
        <w:rPr>
          <w:rFonts w:hint="eastAsia" w:ascii="仿宋_GB2312" w:hAnsi="仿宋_GB2312" w:eastAsia="仿宋_GB2312" w:cs="仿宋_GB2312"/>
          <w:sz w:val="28"/>
          <w:szCs w:val="28"/>
          <w:u w:val="single"/>
        </w:rPr>
        <w:tab/>
      </w:r>
      <w:r>
        <w:rPr>
          <w:rFonts w:hint="eastAsia" w:ascii="仿宋_GB2312" w:hAnsi="仿宋_GB2312" w:eastAsia="仿宋_GB2312" w:cs="仿宋_GB2312"/>
          <w:sz w:val="28"/>
          <w:szCs w:val="28"/>
          <w:u w:val="single"/>
        </w:rPr>
        <w:t>20</w:t>
      </w:r>
      <w:r>
        <w:rPr>
          <w:rFonts w:ascii="仿宋_GB2312" w:hAnsi="仿宋_GB2312" w:eastAsia="仿宋_GB2312" w:cs="仿宋_GB2312"/>
          <w:sz w:val="28"/>
          <w:szCs w:val="28"/>
          <w:u w:val="single"/>
        </w:rPr>
        <w:t>.00</w:t>
      </w:r>
      <w:r>
        <w:rPr>
          <w:rFonts w:hint="eastAsia" w:ascii="仿宋_GB2312" w:hAnsi="仿宋_GB2312" w:eastAsia="仿宋_GB2312" w:cs="仿宋_GB2312"/>
          <w:sz w:val="28"/>
          <w:szCs w:val="28"/>
        </w:rPr>
        <w:t>万元，生态城生态产品价值核算试点项目</w:t>
      </w:r>
      <w:r>
        <w:rPr>
          <w:rFonts w:hint="eastAsia" w:ascii="仿宋_GB2312" w:hAnsi="仿宋_GB2312" w:eastAsia="仿宋_GB2312" w:cs="仿宋_GB2312"/>
          <w:sz w:val="28"/>
          <w:szCs w:val="28"/>
          <w:u w:val="single"/>
        </w:rPr>
        <w:tab/>
      </w:r>
      <w:r>
        <w:rPr>
          <w:rFonts w:hint="eastAsia" w:ascii="仿宋_GB2312" w:hAnsi="仿宋_GB2312" w:eastAsia="仿宋_GB2312" w:cs="仿宋_GB2312"/>
          <w:sz w:val="28"/>
          <w:szCs w:val="28"/>
          <w:u w:val="single"/>
        </w:rPr>
        <w:t>50.8</w:t>
      </w:r>
      <w:r>
        <w:rPr>
          <w:rFonts w:hint="eastAsia" w:ascii="仿宋_GB2312" w:hAnsi="仿宋_GB2312" w:eastAsia="仿宋_GB2312" w:cs="仿宋_GB2312"/>
          <w:sz w:val="28"/>
          <w:szCs w:val="28"/>
        </w:rPr>
        <w:t>万元，国家绿色发展示范区实施方案成效评估</w:t>
      </w:r>
      <w:r>
        <w:rPr>
          <w:rFonts w:hint="eastAsia" w:ascii="仿宋_GB2312" w:hAnsi="仿宋_GB2312" w:eastAsia="仿宋_GB2312" w:cs="仿宋_GB2312"/>
          <w:sz w:val="28"/>
          <w:szCs w:val="28"/>
          <w:u w:val="single"/>
        </w:rPr>
        <w:tab/>
      </w:r>
      <w:r>
        <w:rPr>
          <w:rFonts w:hint="eastAsia" w:ascii="仿宋_GB2312" w:hAnsi="仿宋_GB2312" w:eastAsia="仿宋_GB2312" w:cs="仿宋_GB2312"/>
          <w:sz w:val="28"/>
          <w:szCs w:val="28"/>
          <w:u w:val="single"/>
        </w:rPr>
        <w:t>15</w:t>
      </w:r>
      <w:r>
        <w:rPr>
          <w:rFonts w:ascii="仿宋_GB2312" w:hAnsi="仿宋_GB2312" w:eastAsia="仿宋_GB2312" w:cs="仿宋_GB2312"/>
          <w:sz w:val="28"/>
          <w:szCs w:val="28"/>
          <w:u w:val="single"/>
        </w:rPr>
        <w:t>.00</w:t>
      </w:r>
      <w:r>
        <w:rPr>
          <w:rFonts w:hint="eastAsia" w:ascii="仿宋_GB2312" w:hAnsi="仿宋_GB2312" w:eastAsia="仿宋_GB2312" w:cs="仿宋_GB2312"/>
          <w:sz w:val="28"/>
          <w:szCs w:val="28"/>
        </w:rPr>
        <w:t>万元，“十五五”重大前期课题研究及方案编制</w:t>
      </w:r>
      <w:r>
        <w:rPr>
          <w:rFonts w:hint="eastAsia" w:ascii="仿宋_GB2312" w:hAnsi="仿宋_GB2312" w:eastAsia="仿宋_GB2312" w:cs="仿宋_GB2312"/>
          <w:sz w:val="28"/>
          <w:szCs w:val="28"/>
          <w:u w:val="single"/>
        </w:rPr>
        <w:tab/>
      </w:r>
      <w:r>
        <w:rPr>
          <w:rFonts w:hint="eastAsia" w:ascii="仿宋_GB2312" w:hAnsi="仿宋_GB2312" w:eastAsia="仿宋_GB2312" w:cs="仿宋_GB2312"/>
          <w:sz w:val="28"/>
          <w:szCs w:val="28"/>
          <w:u w:val="single"/>
        </w:rPr>
        <w:t>40</w:t>
      </w:r>
      <w:r>
        <w:rPr>
          <w:rFonts w:ascii="仿宋_GB2312" w:hAnsi="仿宋_GB2312" w:eastAsia="仿宋_GB2312" w:cs="仿宋_GB2312"/>
          <w:sz w:val="28"/>
          <w:szCs w:val="28"/>
          <w:u w:val="single"/>
        </w:rPr>
        <w:t>.00</w:t>
      </w:r>
      <w:r>
        <w:rPr>
          <w:rFonts w:hint="eastAsia" w:ascii="仿宋_GB2312" w:hAnsi="仿宋_GB2312" w:eastAsia="仿宋_GB2312" w:cs="仿宋_GB2312"/>
          <w:sz w:val="28"/>
          <w:szCs w:val="28"/>
        </w:rPr>
        <w:t>万元</w:t>
      </w:r>
    </w:p>
    <w:p w14:paraId="40FA1A63">
      <w:pPr>
        <w:spacing w:line="600" w:lineRule="exact"/>
        <w:ind w:firstLine="562" w:firstLineChars="200"/>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（三）国有资产占用情况</w:t>
      </w:r>
    </w:p>
    <w:p w14:paraId="375B0987">
      <w:pPr>
        <w:spacing w:line="600" w:lineRule="exact"/>
        <w:ind w:firstLine="560" w:firstLineChars="200"/>
        <w:jc w:val="both"/>
        <w:rPr>
          <w:rFonts w:ascii="仿宋_GB2312" w:hAnsi="仿宋_GB2312" w:eastAsia="仿宋_GB2312" w:cs="仿宋_GB2312"/>
          <w:color w:val="FF0000"/>
          <w:sz w:val="28"/>
          <w:szCs w:val="28"/>
        </w:rPr>
      </w:pPr>
      <w:r>
        <w:rPr>
          <w:rFonts w:hint="eastAsia" w:ascii="仿宋_GB2312" w:hAnsi="仿宋_GB2312" w:eastAsia="仿宋_GB2312" w:cs="仿宋_GB2312"/>
          <w:color w:val="000000"/>
          <w:sz w:val="28"/>
          <w:szCs w:val="28"/>
        </w:rPr>
        <w:t>截至2025年底，本部门各单位共有车辆 0 辆，其中：副部（省）级及以上领导用车 0 辆、主要领导干部用车 0 辆、机要通信用车 0 辆、应急保障用车 0 辆、执法执勤用车 0 辆、特种专业技术用车 0 辆、离退休干部用车 0 辆、其他用车 0 辆，其他用车主要包括 无 。单价50万元以上的通用设备台</w:t>
      </w:r>
      <w:r>
        <w:rPr>
          <w:rFonts w:ascii="仿宋_GB2312" w:hAnsi="仿宋_GB2312" w:eastAsia="仿宋_GB2312" w:cs="仿宋_GB2312"/>
          <w:color w:val="000000"/>
          <w:sz w:val="28"/>
          <w:szCs w:val="28"/>
          <w:u w:val="single"/>
        </w:rPr>
        <w:t xml:space="preserve">  8 </w:t>
      </w:r>
      <w:r>
        <w:rPr>
          <w:rFonts w:hint="eastAsia" w:ascii="仿宋_GB2312" w:hAnsi="仿宋_GB2312" w:eastAsia="仿宋_GB2312" w:cs="仿宋_GB2312"/>
          <w:color w:val="000000"/>
          <w:sz w:val="28"/>
          <w:szCs w:val="28"/>
        </w:rPr>
        <w:t>（套），单价100万元以上的专用设备</w:t>
      </w:r>
      <w:r>
        <w:rPr>
          <w:rFonts w:ascii="仿宋_GB2312" w:hAnsi="仿宋_GB2312" w:eastAsia="仿宋_GB2312" w:cs="仿宋_GB2312"/>
          <w:color w:val="000000"/>
          <w:sz w:val="28"/>
          <w:szCs w:val="28"/>
          <w:u w:val="single"/>
        </w:rPr>
        <w:t>0</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台（套）。</w:t>
      </w:r>
    </w:p>
    <w:p w14:paraId="43B41102">
      <w:pPr>
        <w:spacing w:line="600" w:lineRule="exact"/>
        <w:ind w:firstLine="562" w:firstLineChars="200"/>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（四）预算绩效情况说明</w:t>
      </w:r>
    </w:p>
    <w:p w14:paraId="526AEACB">
      <w:pPr>
        <w:spacing w:line="600" w:lineRule="exact"/>
        <w:ind w:left="151" w:leftChars="63" w:firstLine="420" w:firstLineChars="150"/>
        <w:jc w:val="both"/>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本部门2025年实行绩效目标管理的项目</w:t>
      </w:r>
      <w:r>
        <w:rPr>
          <w:rFonts w:hint="eastAsia" w:ascii="仿宋_GB2312" w:hAnsi="仿宋_GB2312" w:eastAsia="仿宋_GB2312" w:cs="仿宋_GB2312"/>
          <w:sz w:val="28"/>
          <w:szCs w:val="28"/>
          <w:u w:val="single"/>
        </w:rPr>
        <w:t>25</w:t>
      </w:r>
      <w:r>
        <w:rPr>
          <w:rFonts w:hint="eastAsia" w:ascii="仿宋_GB2312" w:hAnsi="仿宋_GB2312" w:eastAsia="仿宋_GB2312" w:cs="仿宋_GB2312"/>
          <w:color w:val="000000"/>
          <w:sz w:val="28"/>
          <w:szCs w:val="28"/>
        </w:rPr>
        <w:t>个，涉及预算金额</w:t>
      </w:r>
      <w:r>
        <w:rPr>
          <w:rFonts w:hint="eastAsia" w:ascii="仿宋_GB2312" w:hAnsi="仿宋_GB2312" w:eastAsia="仿宋_GB2312" w:cs="仿宋_GB2312"/>
          <w:sz w:val="28"/>
          <w:szCs w:val="28"/>
          <w:u w:val="single"/>
        </w:rPr>
        <w:t xml:space="preserve">           599.92</w:t>
      </w:r>
      <w:r>
        <w:rPr>
          <w:rFonts w:hint="eastAsia" w:ascii="仿宋_GB2312" w:hAnsi="仿宋_GB2312" w:eastAsia="仿宋_GB2312" w:cs="仿宋_GB2312"/>
          <w:sz w:val="28"/>
          <w:szCs w:val="28"/>
        </w:rPr>
        <w:t>万</w:t>
      </w:r>
      <w:r>
        <w:rPr>
          <w:rFonts w:hint="eastAsia" w:ascii="仿宋_GB2312" w:hAnsi="仿宋_GB2312" w:eastAsia="仿宋_GB2312" w:cs="仿宋_GB2312"/>
          <w:color w:val="000000"/>
          <w:sz w:val="28"/>
          <w:szCs w:val="28"/>
        </w:rPr>
        <w:t>元。</w:t>
      </w:r>
    </w:p>
    <w:p w14:paraId="7475D9BB">
      <w:pPr>
        <w:spacing w:line="600" w:lineRule="exact"/>
        <w:ind w:firstLine="560" w:firstLineChars="200"/>
        <w:jc w:val="both"/>
        <w:rPr>
          <w:rFonts w:ascii="仿宋_GB2312" w:hAnsi="仿宋_GB2312" w:eastAsia="仿宋_GB2312" w:cs="仿宋_GB2312"/>
          <w:color w:val="FF0000"/>
          <w:sz w:val="28"/>
          <w:szCs w:val="28"/>
        </w:rPr>
      </w:pPr>
      <w:bookmarkStart w:id="13" w:name="_Toc78784585"/>
    </w:p>
    <w:p w14:paraId="1A12431C">
      <w:pPr>
        <w:spacing w:line="600" w:lineRule="exact"/>
        <w:ind w:firstLine="560" w:firstLineChars="200"/>
        <w:jc w:val="both"/>
        <w:rPr>
          <w:rFonts w:ascii="仿宋_GB2312" w:hAnsi="仿宋_GB2312" w:eastAsia="仿宋_GB2312" w:cs="仿宋_GB2312"/>
          <w:color w:val="FF0000"/>
          <w:sz w:val="28"/>
          <w:szCs w:val="28"/>
        </w:rPr>
      </w:pPr>
    </w:p>
    <w:p w14:paraId="4FBD32B9">
      <w:pPr>
        <w:spacing w:line="600" w:lineRule="exact"/>
        <w:ind w:firstLine="560" w:firstLineChars="200"/>
        <w:jc w:val="both"/>
        <w:rPr>
          <w:rFonts w:ascii="仿宋_GB2312" w:hAnsi="仿宋_GB2312" w:eastAsia="仿宋_GB2312" w:cs="仿宋_GB2312"/>
          <w:color w:val="FF0000"/>
          <w:sz w:val="28"/>
          <w:szCs w:val="28"/>
        </w:rPr>
      </w:pPr>
    </w:p>
    <w:p w14:paraId="3666B47F">
      <w:pPr>
        <w:spacing w:line="600" w:lineRule="exact"/>
        <w:ind w:firstLine="560" w:firstLineChars="200"/>
        <w:jc w:val="both"/>
        <w:rPr>
          <w:rFonts w:ascii="仿宋_GB2312" w:hAnsi="仿宋_GB2312" w:eastAsia="仿宋_GB2312" w:cs="仿宋_GB2312"/>
          <w:color w:val="FF0000"/>
          <w:sz w:val="28"/>
          <w:szCs w:val="28"/>
        </w:rPr>
      </w:pPr>
    </w:p>
    <w:p w14:paraId="1E77CEBC">
      <w:pPr>
        <w:spacing w:line="600" w:lineRule="exact"/>
        <w:ind w:firstLine="560" w:firstLineChars="200"/>
        <w:jc w:val="both"/>
        <w:rPr>
          <w:rFonts w:ascii="仿宋_GB2312" w:hAnsi="仿宋_GB2312" w:eastAsia="仿宋_GB2312" w:cs="仿宋_GB2312"/>
          <w:color w:val="FF0000"/>
          <w:sz w:val="28"/>
          <w:szCs w:val="28"/>
        </w:rPr>
      </w:pPr>
    </w:p>
    <w:p w14:paraId="22D3A44D">
      <w:pPr>
        <w:spacing w:line="600" w:lineRule="exact"/>
        <w:ind w:firstLine="560" w:firstLineChars="200"/>
        <w:jc w:val="both"/>
        <w:rPr>
          <w:rFonts w:ascii="仿宋_GB2312" w:hAnsi="仿宋_GB2312" w:eastAsia="仿宋_GB2312" w:cs="仿宋_GB2312"/>
          <w:color w:val="FF0000"/>
          <w:sz w:val="28"/>
          <w:szCs w:val="28"/>
        </w:rPr>
      </w:pPr>
    </w:p>
    <w:p w14:paraId="5703DE7B">
      <w:pPr>
        <w:spacing w:line="600" w:lineRule="exact"/>
        <w:ind w:firstLine="560" w:firstLineChars="200"/>
        <w:jc w:val="both"/>
        <w:rPr>
          <w:rFonts w:ascii="仿宋_GB2312" w:hAnsi="仿宋_GB2312" w:eastAsia="仿宋_GB2312" w:cs="仿宋_GB2312"/>
          <w:color w:val="FF0000"/>
          <w:sz w:val="28"/>
          <w:szCs w:val="28"/>
        </w:rPr>
      </w:pPr>
    </w:p>
    <w:p w14:paraId="78750544">
      <w:pPr>
        <w:spacing w:line="600" w:lineRule="exact"/>
        <w:ind w:firstLine="560" w:firstLineChars="200"/>
        <w:jc w:val="both"/>
        <w:rPr>
          <w:rFonts w:ascii="仿宋_GB2312" w:hAnsi="仿宋_GB2312" w:eastAsia="仿宋_GB2312" w:cs="仿宋_GB2312"/>
          <w:color w:val="FF0000"/>
          <w:sz w:val="28"/>
          <w:szCs w:val="28"/>
        </w:rPr>
      </w:pPr>
    </w:p>
    <w:p w14:paraId="5415074D">
      <w:pPr>
        <w:spacing w:line="600" w:lineRule="exact"/>
        <w:ind w:firstLine="562" w:firstLineChars="200"/>
        <w:jc w:val="center"/>
        <w:rPr>
          <w:rFonts w:ascii="仿宋_GB2312" w:hAnsi="仿宋_GB2312" w:eastAsia="仿宋_GB2312" w:cs="仿宋_GB2312"/>
          <w:sz w:val="28"/>
          <w:szCs w:val="28"/>
        </w:rPr>
      </w:pPr>
      <w:r>
        <w:rPr>
          <w:rFonts w:hint="eastAsia" w:ascii="仿宋_GB2312" w:hAnsi="仿宋_GB2312" w:eastAsia="仿宋_GB2312" w:cs="仿宋_GB2312"/>
          <w:b/>
          <w:bCs/>
          <w:sz w:val="28"/>
          <w:szCs w:val="28"/>
        </w:rPr>
        <w:t>第三部分  名词解释</w:t>
      </w:r>
      <w:bookmarkEnd w:id="13"/>
    </w:p>
    <w:p w14:paraId="282681E4">
      <w:pPr>
        <w:spacing w:line="600" w:lineRule="exact"/>
        <w:ind w:firstLine="560" w:firstLineChars="200"/>
        <w:rPr>
          <w:rFonts w:ascii="仿宋_GB2312" w:hAnsi="仿宋_GB2312" w:eastAsia="仿宋_GB2312" w:cs="仿宋_GB2312"/>
          <w:sz w:val="28"/>
          <w:szCs w:val="28"/>
        </w:rPr>
      </w:pPr>
    </w:p>
    <w:p w14:paraId="2371D91D">
      <w:pPr>
        <w:spacing w:line="600" w:lineRule="exact"/>
        <w:ind w:firstLine="562" w:firstLineChars="200"/>
        <w:rPr>
          <w:rFonts w:ascii="仿宋_GB2312" w:hAnsi="仿宋_GB2312" w:eastAsia="仿宋_GB2312" w:cs="仿宋_GB2312"/>
          <w:sz w:val="28"/>
          <w:szCs w:val="28"/>
        </w:rPr>
      </w:pPr>
      <w:r>
        <w:rPr>
          <w:rFonts w:hint="eastAsia" w:ascii="楷体_GB2312" w:hAnsi="楷体_GB2312" w:eastAsia="楷体_GB2312" w:cs="楷体_GB2312"/>
          <w:b/>
          <w:bCs/>
          <w:sz w:val="28"/>
          <w:szCs w:val="28"/>
        </w:rPr>
        <w:t>1.部门预算。</w:t>
      </w:r>
      <w:r>
        <w:rPr>
          <w:rFonts w:hint="eastAsia" w:ascii="仿宋_GB2312" w:hAnsi="仿宋_GB2312" w:eastAsia="仿宋_GB2312" w:cs="仿宋_GB2312"/>
          <w:sz w:val="28"/>
          <w:szCs w:val="28"/>
        </w:rPr>
        <w:t>是指主管预算部门依据相关法律、法规和政策规定及其行使职能需要，组织所属预算单位编制并逐级上报、审核、汇总，经财政部门审核后按程序依法批准的部门综合收支计划。</w:t>
      </w:r>
    </w:p>
    <w:p w14:paraId="109CD9D6">
      <w:pPr>
        <w:spacing w:line="600" w:lineRule="exact"/>
        <w:ind w:firstLine="562" w:firstLineChars="200"/>
        <w:rPr>
          <w:rFonts w:ascii="仿宋_GB2312" w:hAnsi="仿宋_GB2312" w:eastAsia="仿宋_GB2312" w:cs="仿宋_GB2312"/>
          <w:sz w:val="28"/>
          <w:szCs w:val="28"/>
        </w:rPr>
      </w:pPr>
      <w:r>
        <w:rPr>
          <w:rFonts w:hint="eastAsia" w:ascii="楷体_GB2312" w:hAnsi="楷体_GB2312" w:eastAsia="楷体_GB2312" w:cs="楷体_GB2312"/>
          <w:b/>
          <w:bCs/>
          <w:sz w:val="28"/>
          <w:szCs w:val="28"/>
        </w:rPr>
        <w:t>2. 机关运行经费。</w:t>
      </w:r>
      <w:r>
        <w:rPr>
          <w:rFonts w:hint="eastAsia" w:ascii="仿宋_GB2312" w:hAnsi="仿宋_GB2312" w:eastAsia="仿宋_GB2312" w:cs="仿宋_GB2312"/>
          <w:sz w:val="28"/>
          <w:szCs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14:paraId="465F0F09">
      <w:pPr>
        <w:spacing w:line="600" w:lineRule="exact"/>
        <w:ind w:firstLine="560" w:firstLineChars="200"/>
        <w:rPr>
          <w:rFonts w:ascii="仿宋_GB2312" w:hAnsi="仿宋_GB2312" w:eastAsia="仿宋_GB2312" w:cs="仿宋_GB2312"/>
          <w:color w:val="FF0000"/>
          <w:sz w:val="28"/>
          <w:szCs w:val="28"/>
        </w:rPr>
      </w:pPr>
    </w:p>
    <w:p w14:paraId="48767B5D">
      <w:pPr>
        <w:spacing w:line="600" w:lineRule="exact"/>
        <w:ind w:firstLine="560" w:firstLineChars="200"/>
        <w:rPr>
          <w:rFonts w:ascii="仿宋_GB2312" w:hAnsi="仿宋_GB2312" w:eastAsia="仿宋_GB2312" w:cs="仿宋_GB2312"/>
          <w:color w:val="FF0000"/>
          <w:sz w:val="28"/>
          <w:szCs w:val="28"/>
        </w:rPr>
      </w:pPr>
    </w:p>
    <w:p w14:paraId="61D16A25">
      <w:pPr>
        <w:spacing w:line="600" w:lineRule="exact"/>
        <w:ind w:firstLine="560" w:firstLineChars="200"/>
        <w:rPr>
          <w:rFonts w:ascii="仿宋_GB2312" w:hAnsi="仿宋_GB2312" w:eastAsia="仿宋_GB2312" w:cs="仿宋_GB2312"/>
          <w:color w:val="FF0000"/>
          <w:sz w:val="28"/>
          <w:szCs w:val="28"/>
        </w:rPr>
      </w:pPr>
    </w:p>
    <w:p w14:paraId="307D43FE">
      <w:pPr>
        <w:spacing w:line="600" w:lineRule="exact"/>
        <w:ind w:firstLine="560" w:firstLineChars="200"/>
        <w:rPr>
          <w:rFonts w:ascii="仿宋_GB2312" w:hAnsi="仿宋_GB2312" w:eastAsia="仿宋_GB2312" w:cs="仿宋_GB2312"/>
          <w:sz w:val="28"/>
          <w:szCs w:val="28"/>
        </w:rPr>
      </w:pPr>
    </w:p>
    <w:p w14:paraId="4AF08FDF">
      <w:pPr>
        <w:spacing w:line="600" w:lineRule="exact"/>
        <w:ind w:firstLine="560" w:firstLineChars="200"/>
        <w:rPr>
          <w:rFonts w:ascii="仿宋_GB2312" w:hAnsi="仿宋_GB2312" w:eastAsia="仿宋_GB2312" w:cs="仿宋_GB2312"/>
          <w:sz w:val="28"/>
          <w:szCs w:val="28"/>
        </w:rPr>
      </w:pPr>
    </w:p>
    <w:p w14:paraId="23330A00">
      <w:pPr>
        <w:spacing w:line="600" w:lineRule="exact"/>
        <w:ind w:firstLine="560" w:firstLineChars="200"/>
        <w:rPr>
          <w:rFonts w:ascii="仿宋_GB2312" w:hAnsi="仿宋_GB2312" w:eastAsia="仿宋_GB2312" w:cs="仿宋_GB2312"/>
          <w:sz w:val="28"/>
          <w:szCs w:val="28"/>
        </w:rPr>
      </w:pPr>
    </w:p>
    <w:p w14:paraId="28CEB362">
      <w:pPr>
        <w:spacing w:line="600" w:lineRule="exact"/>
        <w:ind w:firstLine="560" w:firstLineChars="200"/>
        <w:rPr>
          <w:rFonts w:ascii="仿宋_GB2312" w:hAnsi="仿宋_GB2312" w:eastAsia="仿宋_GB2312" w:cs="仿宋_GB2312"/>
          <w:sz w:val="28"/>
          <w:szCs w:val="28"/>
        </w:rPr>
      </w:pPr>
    </w:p>
    <w:p w14:paraId="137367A6">
      <w:pPr>
        <w:spacing w:line="600" w:lineRule="exact"/>
        <w:ind w:firstLine="560" w:firstLineChars="200"/>
        <w:rPr>
          <w:rFonts w:ascii="仿宋_GB2312" w:hAnsi="仿宋_GB2312" w:eastAsia="仿宋_GB2312" w:cs="仿宋_GB2312"/>
          <w:sz w:val="28"/>
          <w:szCs w:val="28"/>
        </w:rPr>
      </w:pPr>
    </w:p>
    <w:p w14:paraId="6C79423A">
      <w:pPr>
        <w:spacing w:line="600" w:lineRule="exact"/>
        <w:ind w:firstLine="560" w:firstLineChars="200"/>
        <w:rPr>
          <w:rFonts w:ascii="仿宋_GB2312" w:hAnsi="仿宋_GB2312" w:eastAsia="仿宋_GB2312" w:cs="仿宋_GB2312"/>
          <w:sz w:val="28"/>
          <w:szCs w:val="28"/>
        </w:rPr>
      </w:pPr>
    </w:p>
    <w:p w14:paraId="2F99E381">
      <w:pPr>
        <w:spacing w:line="600" w:lineRule="exact"/>
        <w:ind w:firstLine="560" w:firstLineChars="200"/>
        <w:rPr>
          <w:rFonts w:ascii="仿宋_GB2312" w:hAnsi="仿宋_GB2312" w:eastAsia="仿宋_GB2312" w:cs="仿宋_GB2312"/>
          <w:sz w:val="28"/>
          <w:szCs w:val="28"/>
        </w:rPr>
      </w:pPr>
    </w:p>
    <w:p w14:paraId="4990A8E5">
      <w:pPr>
        <w:spacing w:line="600" w:lineRule="exact"/>
        <w:ind w:firstLine="560" w:firstLineChars="200"/>
        <w:rPr>
          <w:rFonts w:ascii="仿宋_GB2312" w:hAnsi="仿宋_GB2312" w:eastAsia="仿宋_GB2312" w:cs="仿宋_GB2312"/>
          <w:sz w:val="28"/>
          <w:szCs w:val="28"/>
        </w:rPr>
      </w:pPr>
    </w:p>
    <w:p w14:paraId="6F6F38A6">
      <w:pPr>
        <w:spacing w:line="600" w:lineRule="exact"/>
        <w:ind w:firstLine="560" w:firstLineChars="200"/>
        <w:rPr>
          <w:rFonts w:ascii="仿宋_GB2312" w:hAnsi="仿宋_GB2312" w:eastAsia="仿宋_GB2312" w:cs="仿宋_GB2312"/>
          <w:sz w:val="28"/>
          <w:szCs w:val="28"/>
        </w:rPr>
      </w:pPr>
    </w:p>
    <w:p w14:paraId="02FD3DF3">
      <w:pPr>
        <w:spacing w:line="600" w:lineRule="exact"/>
        <w:jc w:val="center"/>
        <w:rPr>
          <w:rFonts w:ascii="仿宋_GB2312" w:hAnsi="仿宋_GB2312" w:eastAsia="仿宋_GB2312" w:cs="仿宋_GB2312"/>
          <w:sz w:val="28"/>
          <w:szCs w:val="28"/>
        </w:rPr>
      </w:pPr>
    </w:p>
    <w:p w14:paraId="730212AF">
      <w:pPr>
        <w:spacing w:line="56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第四部分  2024年部门预算表</w:t>
      </w:r>
    </w:p>
    <w:p w14:paraId="4F26E697">
      <w:pPr>
        <w:spacing w:line="560" w:lineRule="exact"/>
        <w:ind w:left="480" w:leftChars="200"/>
        <w:rPr>
          <w:rFonts w:ascii="仿宋_GB2312" w:hAnsi="仿宋_GB2312" w:eastAsia="仿宋_GB2312" w:cs="仿宋_GB2312"/>
          <w:sz w:val="28"/>
          <w:szCs w:val="28"/>
        </w:rPr>
      </w:pPr>
    </w:p>
    <w:p w14:paraId="44EA2753">
      <w:pPr>
        <w:spacing w:line="560" w:lineRule="exact"/>
        <w:ind w:left="480" w:left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一、202</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年收支预算总表</w:t>
      </w:r>
    </w:p>
    <w:p w14:paraId="67D9CC94">
      <w:pPr>
        <w:spacing w:line="560" w:lineRule="exact"/>
        <w:ind w:left="480" w:left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二、202</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年收入预算总表</w:t>
      </w:r>
    </w:p>
    <w:p w14:paraId="7255F866">
      <w:pPr>
        <w:spacing w:line="560" w:lineRule="exact"/>
        <w:ind w:left="480" w:left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三、202</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年支出预算总表</w:t>
      </w:r>
    </w:p>
    <w:p w14:paraId="3DDFC487">
      <w:pPr>
        <w:spacing w:line="560" w:lineRule="exact"/>
        <w:ind w:left="480" w:left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四、202</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年财政拨款收支预算总表</w:t>
      </w:r>
    </w:p>
    <w:p w14:paraId="210296C9">
      <w:pPr>
        <w:spacing w:line="560" w:lineRule="exact"/>
        <w:ind w:left="480" w:leftChars="200"/>
        <w:rPr>
          <w:rFonts w:ascii="仿宋_GB2312" w:hAnsi="仿宋_GB2312" w:eastAsia="仿宋_GB2312" w:cs="仿宋_GB2312"/>
          <w:sz w:val="28"/>
          <w:szCs w:val="28"/>
        </w:rPr>
      </w:pPr>
      <w:r>
        <w:rPr>
          <w:rFonts w:hint="eastAsia" w:ascii="仿宋_GB2312" w:hAnsi="仿宋_GB2312" w:eastAsia="仿宋_GB2312" w:cs="仿宋_GB2312"/>
          <w:sz w:val="28"/>
          <w:szCs w:val="28"/>
        </w:rPr>
        <w:t>五、202</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年财政拨款一般公共预算支出预算表</w:t>
      </w:r>
    </w:p>
    <w:p w14:paraId="56DABB76">
      <w:pPr>
        <w:spacing w:line="560" w:lineRule="exact"/>
        <w:ind w:left="480" w:leftChars="200"/>
        <w:rPr>
          <w:rFonts w:ascii="仿宋_GB2312" w:hAnsi="仿宋_GB2312" w:eastAsia="仿宋_GB2312" w:cs="仿宋_GB2312"/>
          <w:sz w:val="28"/>
          <w:szCs w:val="28"/>
        </w:rPr>
      </w:pPr>
      <w:r>
        <w:rPr>
          <w:rFonts w:hint="eastAsia" w:ascii="仿宋_GB2312" w:hAnsi="仿宋_GB2312" w:eastAsia="仿宋_GB2312" w:cs="仿宋_GB2312"/>
          <w:sz w:val="28"/>
          <w:szCs w:val="28"/>
        </w:rPr>
        <w:t>六、202</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年财政拨款一般公共预算基本支出预算表</w:t>
      </w:r>
    </w:p>
    <w:p w14:paraId="430A08AC">
      <w:pPr>
        <w:spacing w:line="560" w:lineRule="exact"/>
        <w:ind w:left="480" w:leftChars="200"/>
        <w:rPr>
          <w:rFonts w:ascii="仿宋_GB2312" w:hAnsi="仿宋_GB2312" w:eastAsia="仿宋_GB2312" w:cs="仿宋_GB2312"/>
          <w:sz w:val="28"/>
          <w:szCs w:val="28"/>
        </w:rPr>
      </w:pPr>
      <w:r>
        <w:rPr>
          <w:rFonts w:hint="eastAsia" w:ascii="仿宋_GB2312" w:hAnsi="仿宋_GB2312" w:eastAsia="仿宋_GB2312" w:cs="仿宋_GB2312"/>
          <w:sz w:val="28"/>
          <w:szCs w:val="28"/>
        </w:rPr>
        <w:t>七、202</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年财政拨款政府性基金预算支出预算表</w:t>
      </w:r>
    </w:p>
    <w:p w14:paraId="5957A747">
      <w:pPr>
        <w:spacing w:line="560" w:lineRule="exact"/>
        <w:ind w:left="480" w:leftChars="200"/>
        <w:rPr>
          <w:rFonts w:ascii="仿宋_GB2312" w:hAnsi="仿宋_GB2312" w:eastAsia="仿宋_GB2312" w:cs="仿宋_GB2312"/>
          <w:sz w:val="28"/>
          <w:szCs w:val="28"/>
        </w:rPr>
      </w:pPr>
      <w:r>
        <w:rPr>
          <w:rFonts w:hint="eastAsia" w:ascii="仿宋_GB2312" w:hAnsi="仿宋_GB2312" w:eastAsia="仿宋_GB2312" w:cs="仿宋_GB2312"/>
          <w:sz w:val="28"/>
          <w:szCs w:val="28"/>
        </w:rPr>
        <w:t>八、202</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年财政拨款一般公共预算“三公”经费支出预算表</w:t>
      </w:r>
    </w:p>
    <w:p w14:paraId="61B60BBE">
      <w:pPr>
        <w:spacing w:line="560" w:lineRule="exact"/>
        <w:ind w:left="480" w:leftChars="200"/>
        <w:rPr>
          <w:rFonts w:ascii="仿宋_GB2312" w:hAnsi="仿宋_GB2312" w:eastAsia="仿宋_GB2312" w:cs="仿宋_GB2312"/>
          <w:sz w:val="28"/>
          <w:szCs w:val="28"/>
        </w:rPr>
      </w:pPr>
      <w:r>
        <w:rPr>
          <w:rFonts w:hint="eastAsia" w:ascii="仿宋_GB2312" w:hAnsi="仿宋_GB2312" w:eastAsia="仿宋_GB2312" w:cs="仿宋_GB2312"/>
          <w:sz w:val="28"/>
          <w:szCs w:val="28"/>
        </w:rPr>
        <w:t>九、202</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年财政拨款政府采购预算表</w:t>
      </w:r>
    </w:p>
    <w:p w14:paraId="5A9509B4">
      <w:pPr>
        <w:spacing w:line="560" w:lineRule="exact"/>
        <w:ind w:left="480" w:leftChars="200"/>
        <w:rPr>
          <w:rFonts w:ascii="仿宋_GB2312" w:hAnsi="仿宋_GB2312" w:eastAsia="仿宋_GB2312" w:cs="仿宋_GB2312"/>
          <w:sz w:val="28"/>
          <w:szCs w:val="28"/>
        </w:rPr>
      </w:pPr>
      <w:r>
        <w:rPr>
          <w:rFonts w:hint="eastAsia" w:ascii="仿宋_GB2312" w:hAnsi="仿宋_GB2312" w:eastAsia="仿宋_GB2312" w:cs="仿宋_GB2312"/>
          <w:sz w:val="28"/>
          <w:szCs w:val="28"/>
        </w:rPr>
        <w:t>十、202</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 xml:space="preserve">年项目支出预算表  </w:t>
      </w:r>
    </w:p>
    <w:p w14:paraId="10828DB8">
      <w:pPr>
        <w:spacing w:line="560" w:lineRule="exact"/>
        <w:ind w:left="480" w:leftChars="200"/>
        <w:rPr>
          <w:rFonts w:ascii="仿宋_GB2312" w:hAnsi="仿宋_GB2312" w:eastAsia="仿宋_GB2312" w:cs="仿宋_GB2312"/>
          <w:sz w:val="28"/>
          <w:szCs w:val="28"/>
        </w:rPr>
      </w:pPr>
      <w:r>
        <w:rPr>
          <w:rFonts w:hint="eastAsia" w:ascii="仿宋_GB2312" w:hAnsi="仿宋_GB2312" w:eastAsia="仿宋_GB2312" w:cs="仿宋_GB2312"/>
          <w:sz w:val="28"/>
          <w:szCs w:val="28"/>
        </w:rPr>
        <w:t>十一、202</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年国有资本经营预算支出预算表</w:t>
      </w:r>
    </w:p>
    <w:p w14:paraId="222E8AB9">
      <w:pPr>
        <w:spacing w:line="560" w:lineRule="exact"/>
        <w:ind w:left="480" w:leftChars="200"/>
        <w:rPr>
          <w:rFonts w:ascii="仿宋_GB2312" w:hAnsi="仿宋_GB2312" w:eastAsia="仿宋_GB2312" w:cs="仿宋_GB2312"/>
          <w:sz w:val="28"/>
          <w:szCs w:val="28"/>
        </w:rPr>
      </w:pPr>
      <w:r>
        <w:rPr>
          <w:rFonts w:hint="eastAsia" w:ascii="仿宋_GB2312" w:hAnsi="仿宋_GB2312" w:eastAsia="仿宋_GB2312" w:cs="仿宋_GB2312"/>
          <w:sz w:val="28"/>
          <w:szCs w:val="28"/>
        </w:rPr>
        <w:t>十二、202</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年项目支出绩效目标表</w:t>
      </w:r>
    </w:p>
    <w:p w14:paraId="374DE581">
      <w:pPr>
        <w:spacing w:line="560" w:lineRule="exact"/>
        <w:ind w:left="480" w:leftChars="200"/>
        <w:rPr>
          <w:rFonts w:ascii="仿宋_GB2312" w:hAnsi="仿宋_GB2312" w:eastAsia="仿宋_GB2312" w:cs="仿宋_GB2312"/>
          <w:sz w:val="28"/>
          <w:szCs w:val="28"/>
        </w:rPr>
      </w:pPr>
      <w:r>
        <w:rPr>
          <w:rFonts w:hint="eastAsia" w:ascii="仿宋_GB2312" w:hAnsi="仿宋_GB2312" w:eastAsia="仿宋_GB2312" w:cs="仿宋_GB2312"/>
          <w:sz w:val="28"/>
          <w:szCs w:val="28"/>
        </w:rPr>
        <w:t>十三、关于空表的说明</w:t>
      </w:r>
      <w:r>
        <w:rPr>
          <w:rFonts w:hint="eastAsia" w:ascii="仿宋_GB2312" w:hAnsi="仿宋_GB2312" w:eastAsia="仿宋_GB2312" w:cs="仿宋_GB2312"/>
          <w:sz w:val="28"/>
          <w:szCs w:val="28"/>
        </w:rPr>
        <w:tab/>
      </w:r>
    </w:p>
    <w:p w14:paraId="17DC0342">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1、本部门202</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年财政拨款政府性基金预算支出预算表为空表。</w:t>
      </w:r>
    </w:p>
    <w:p w14:paraId="4D2C0C43">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2、本部门202</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年国有资本经营预算支出预算表为空表。</w:t>
      </w:r>
    </w:p>
    <w:p w14:paraId="46202DC1">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3、本部门202</w:t>
      </w:r>
      <w:r>
        <w:rPr>
          <w:rFonts w:ascii="仿宋_GB2312" w:hAnsi="仿宋_GB2312" w:eastAsia="仿宋_GB2312" w:cs="仿宋_GB2312"/>
          <w:sz w:val="28"/>
          <w:szCs w:val="28"/>
        </w:rPr>
        <w:t>5</w:t>
      </w:r>
      <w:r>
        <w:rPr>
          <w:rFonts w:hint="eastAsia" w:ascii="仿宋_GB2312" w:hAnsi="仿宋_GB2312" w:eastAsia="仿宋_GB2312" w:cs="仿宋_GB2312"/>
          <w:sz w:val="28"/>
          <w:szCs w:val="28"/>
        </w:rPr>
        <w:t>年财政拨款“三公”经费预算表为空表。</w:t>
      </w:r>
    </w:p>
    <w:p w14:paraId="634AFF32">
      <w:pPr>
        <w:spacing w:line="560" w:lineRule="exact"/>
        <w:ind w:firstLine="560" w:firstLineChars="200"/>
        <w:rPr>
          <w:rFonts w:ascii="仿宋_GB2312" w:hAnsi="仿宋_GB2312" w:eastAsia="仿宋_GB2312" w:cs="仿宋_GB2312"/>
          <w:sz w:val="28"/>
          <w:szCs w:val="28"/>
        </w:rPr>
      </w:pPr>
    </w:p>
    <w:p w14:paraId="6C37FE2D">
      <w:pPr>
        <w:spacing w:line="560" w:lineRule="exact"/>
        <w:ind w:firstLine="643" w:firstLineChars="200"/>
        <w:rPr>
          <w:rFonts w:ascii="仿宋_GB2312" w:hAnsi="仿宋_GB2312" w:eastAsia="仿宋_GB2312" w:cs="仿宋_GB2312"/>
          <w:b/>
          <w:bCs/>
          <w:color w:val="FF0000"/>
          <w:sz w:val="32"/>
          <w:szCs w:val="32"/>
        </w:rPr>
      </w:pPr>
    </w:p>
    <w:sectPr>
      <w:footerReference r:id="rId8" w:type="default"/>
      <w:pgSz w:w="11907" w:h="16840"/>
      <w:pgMar w:top="2098" w:right="1361" w:bottom="1304" w:left="1474" w:header="765" w:footer="765" w:gutter="0"/>
      <w:pgNumType w:fmt="numberInDash"/>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Serif">
    <w:altName w:val="Segoe Print"/>
    <w:panose1 w:val="040005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91040D">
    <w:pPr>
      <w:pStyle w:val="6"/>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79F245">
                          <w:pPr>
                            <w:pStyle w:val="6"/>
                          </w:pPr>
                          <w:r>
                            <w:fldChar w:fldCharType="begin"/>
                          </w:r>
                          <w:r>
                            <w:instrText xml:space="preserve"> PAGE  \* MERGEFORMAT </w:instrText>
                          </w:r>
                          <w:r>
                            <w:fldChar w:fldCharType="separate"/>
                          </w:r>
                          <w:r>
                            <w:t>- 3 -</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2579F245">
                    <w:pPr>
                      <w:pStyle w:val="6"/>
                    </w:pPr>
                    <w:r>
                      <w:fldChar w:fldCharType="begin"/>
                    </w:r>
                    <w:r>
                      <w:instrText xml:space="preserve"> PAGE  \* MERGEFORMAT </w:instrText>
                    </w:r>
                    <w:r>
                      <w:fldChar w:fldCharType="separate"/>
                    </w:r>
                    <w:r>
                      <w:t>- 3 -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B7640B">
    <w:pPr>
      <w:pStyle w:val="6"/>
      <w:framePr w:wrap="around" w:vAnchor="text" w:hAnchor="margin" w:xAlign="outside" w:y="1"/>
      <w:rPr>
        <w:rStyle w:val="11"/>
      </w:rPr>
    </w:pPr>
    <w:r>
      <w:fldChar w:fldCharType="begin"/>
    </w:r>
    <w:r>
      <w:rPr>
        <w:rStyle w:val="11"/>
      </w:rPr>
      <w:instrText xml:space="preserve">PAGE  </w:instrText>
    </w:r>
    <w:r>
      <w:fldChar w:fldCharType="end"/>
    </w:r>
  </w:p>
  <w:p w14:paraId="3555C630">
    <w:pPr>
      <w:pStyle w:val="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8CF1B">
    <w:pPr>
      <w:pStyle w:val="6"/>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85C6927">
                          <w:pPr>
                            <w:pStyle w:val="6"/>
                            <w:jc w:val="center"/>
                            <w:rPr>
                              <w:rFonts w:ascii="仿宋_GB2312" w:hAnsi="仿宋_GB2312"/>
                            </w:rPr>
                          </w:pPr>
                          <w:r>
                            <w:rPr>
                              <w:rFonts w:ascii="仿宋_GB2312" w:hAnsi="仿宋_GB2312"/>
                            </w:rPr>
                            <w:fldChar w:fldCharType="begin"/>
                          </w:r>
                          <w:r>
                            <w:rPr>
                              <w:rFonts w:ascii="仿宋_GB2312" w:hAnsi="仿宋_GB2312"/>
                            </w:rPr>
                            <w:instrText xml:space="preserve">PAGE   \* MERGEFORMAT</w:instrText>
                          </w:r>
                          <w:r>
                            <w:rPr>
                              <w:rFonts w:ascii="仿宋_GB2312" w:hAnsi="仿宋_GB2312"/>
                            </w:rPr>
                            <w:fldChar w:fldCharType="separate"/>
                          </w:r>
                          <w:r>
                            <w:rPr>
                              <w:rFonts w:ascii="仿宋_GB2312" w:hAnsi="仿宋_GB2312"/>
                              <w:lang w:val="zh-CN"/>
                            </w:rPr>
                            <w:t>-</w:t>
                          </w:r>
                          <w:r>
                            <w:rPr>
                              <w:rFonts w:ascii="仿宋_GB2312" w:hAnsi="仿宋_GB2312"/>
                            </w:rPr>
                            <w:t xml:space="preserve"> 9 -</w:t>
                          </w:r>
                          <w:r>
                            <w:rPr>
                              <w:rFonts w:ascii="仿宋_GB2312" w:hAnsi="仿宋_GB2312"/>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785C6927">
                    <w:pPr>
                      <w:pStyle w:val="6"/>
                      <w:jc w:val="center"/>
                      <w:rPr>
                        <w:rFonts w:ascii="仿宋_GB2312" w:hAnsi="仿宋_GB2312"/>
                      </w:rPr>
                    </w:pPr>
                    <w:r>
                      <w:rPr>
                        <w:rFonts w:ascii="仿宋_GB2312" w:hAnsi="仿宋_GB2312"/>
                      </w:rPr>
                      <w:fldChar w:fldCharType="begin"/>
                    </w:r>
                    <w:r>
                      <w:rPr>
                        <w:rFonts w:ascii="仿宋_GB2312" w:hAnsi="仿宋_GB2312"/>
                      </w:rPr>
                      <w:instrText xml:space="preserve">PAGE   \* MERGEFORMAT</w:instrText>
                    </w:r>
                    <w:r>
                      <w:rPr>
                        <w:rFonts w:ascii="仿宋_GB2312" w:hAnsi="仿宋_GB2312"/>
                      </w:rPr>
                      <w:fldChar w:fldCharType="separate"/>
                    </w:r>
                    <w:r>
                      <w:rPr>
                        <w:rFonts w:ascii="仿宋_GB2312" w:hAnsi="仿宋_GB2312"/>
                        <w:lang w:val="zh-CN"/>
                      </w:rPr>
                      <w:t>-</w:t>
                    </w:r>
                    <w:r>
                      <w:rPr>
                        <w:rFonts w:ascii="仿宋_GB2312" w:hAnsi="仿宋_GB2312"/>
                      </w:rPr>
                      <w:t xml:space="preserve"> 9 -</w:t>
                    </w:r>
                    <w:r>
                      <w:rPr>
                        <w:rFonts w:ascii="仿宋_GB2312" w:hAnsi="仿宋_GB2312"/>
                      </w:rPr>
                      <w:fldChar w:fldCharType="end"/>
                    </w:r>
                  </w:p>
                </w:txbxContent>
              </v:textbox>
            </v:shape>
          </w:pict>
        </mc:Fallback>
      </mc:AlternateContent>
    </w:r>
  </w:p>
  <w:p w14:paraId="0101E292">
    <w:pPr>
      <w:pStyle w:val="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8320C">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4OGVjODc5ZTQzODNhYzNmMDczNWJlZWIzY2FhZWIifQ=="/>
  </w:docVars>
  <w:rsids>
    <w:rsidRoot w:val="00937D77"/>
    <w:rsid w:val="00000C3D"/>
    <w:rsid w:val="0001204D"/>
    <w:rsid w:val="00014B7E"/>
    <w:rsid w:val="000162FC"/>
    <w:rsid w:val="00020DAE"/>
    <w:rsid w:val="00024FCC"/>
    <w:rsid w:val="00025DCF"/>
    <w:rsid w:val="00026B49"/>
    <w:rsid w:val="000279BC"/>
    <w:rsid w:val="00035889"/>
    <w:rsid w:val="0003736F"/>
    <w:rsid w:val="00040A70"/>
    <w:rsid w:val="000546FB"/>
    <w:rsid w:val="00055156"/>
    <w:rsid w:val="000561F0"/>
    <w:rsid w:val="00066DA5"/>
    <w:rsid w:val="00081133"/>
    <w:rsid w:val="00082771"/>
    <w:rsid w:val="00093F1A"/>
    <w:rsid w:val="00097C4D"/>
    <w:rsid w:val="000A4C45"/>
    <w:rsid w:val="000A6A5A"/>
    <w:rsid w:val="000B1B04"/>
    <w:rsid w:val="000B5758"/>
    <w:rsid w:val="000C211F"/>
    <w:rsid w:val="000C3FFB"/>
    <w:rsid w:val="000C5349"/>
    <w:rsid w:val="000C704F"/>
    <w:rsid w:val="000D1BEF"/>
    <w:rsid w:val="000E221E"/>
    <w:rsid w:val="000E5A14"/>
    <w:rsid w:val="000E7C91"/>
    <w:rsid w:val="000F2DDD"/>
    <w:rsid w:val="00103D12"/>
    <w:rsid w:val="001044EF"/>
    <w:rsid w:val="00107793"/>
    <w:rsid w:val="00107F74"/>
    <w:rsid w:val="00115667"/>
    <w:rsid w:val="00141FB3"/>
    <w:rsid w:val="00143640"/>
    <w:rsid w:val="00146622"/>
    <w:rsid w:val="00151976"/>
    <w:rsid w:val="00151DB8"/>
    <w:rsid w:val="00151E56"/>
    <w:rsid w:val="001574DB"/>
    <w:rsid w:val="001616F8"/>
    <w:rsid w:val="001639E6"/>
    <w:rsid w:val="0016548E"/>
    <w:rsid w:val="00167781"/>
    <w:rsid w:val="0017420B"/>
    <w:rsid w:val="0019552B"/>
    <w:rsid w:val="001A1316"/>
    <w:rsid w:val="001A58F7"/>
    <w:rsid w:val="001B337A"/>
    <w:rsid w:val="001B47FB"/>
    <w:rsid w:val="001C525C"/>
    <w:rsid w:val="001E4814"/>
    <w:rsid w:val="001F43D8"/>
    <w:rsid w:val="001F69BB"/>
    <w:rsid w:val="0020344E"/>
    <w:rsid w:val="002114E1"/>
    <w:rsid w:val="00217977"/>
    <w:rsid w:val="00222775"/>
    <w:rsid w:val="00223D56"/>
    <w:rsid w:val="00225E9E"/>
    <w:rsid w:val="002319C9"/>
    <w:rsid w:val="00235DDA"/>
    <w:rsid w:val="002456BF"/>
    <w:rsid w:val="00252DD7"/>
    <w:rsid w:val="002568D5"/>
    <w:rsid w:val="0026664B"/>
    <w:rsid w:val="00290082"/>
    <w:rsid w:val="00290EAC"/>
    <w:rsid w:val="00293ACA"/>
    <w:rsid w:val="002A1782"/>
    <w:rsid w:val="002A23DC"/>
    <w:rsid w:val="002A3DBF"/>
    <w:rsid w:val="002D67AE"/>
    <w:rsid w:val="002D715E"/>
    <w:rsid w:val="002E3C02"/>
    <w:rsid w:val="002F0601"/>
    <w:rsid w:val="002F0F40"/>
    <w:rsid w:val="002F0F49"/>
    <w:rsid w:val="00304097"/>
    <w:rsid w:val="003147A8"/>
    <w:rsid w:val="0032641E"/>
    <w:rsid w:val="003407F4"/>
    <w:rsid w:val="00343F3E"/>
    <w:rsid w:val="0035053A"/>
    <w:rsid w:val="0035182A"/>
    <w:rsid w:val="003609DB"/>
    <w:rsid w:val="00361453"/>
    <w:rsid w:val="00364050"/>
    <w:rsid w:val="003734E1"/>
    <w:rsid w:val="00381526"/>
    <w:rsid w:val="00386D08"/>
    <w:rsid w:val="00391275"/>
    <w:rsid w:val="003929CE"/>
    <w:rsid w:val="003A5370"/>
    <w:rsid w:val="003A7D0E"/>
    <w:rsid w:val="003B24BB"/>
    <w:rsid w:val="003B3A66"/>
    <w:rsid w:val="003C1B4D"/>
    <w:rsid w:val="003C2CCF"/>
    <w:rsid w:val="003D48A4"/>
    <w:rsid w:val="003D647A"/>
    <w:rsid w:val="003E3EA7"/>
    <w:rsid w:val="003F4CDB"/>
    <w:rsid w:val="00404E18"/>
    <w:rsid w:val="00406A09"/>
    <w:rsid w:val="004139C1"/>
    <w:rsid w:val="00415E07"/>
    <w:rsid w:val="004178F1"/>
    <w:rsid w:val="00421C5C"/>
    <w:rsid w:val="00424A5A"/>
    <w:rsid w:val="00452C1F"/>
    <w:rsid w:val="00462D69"/>
    <w:rsid w:val="004645C1"/>
    <w:rsid w:val="004654FD"/>
    <w:rsid w:val="004660E2"/>
    <w:rsid w:val="0046727B"/>
    <w:rsid w:val="0047004A"/>
    <w:rsid w:val="00472621"/>
    <w:rsid w:val="00474C09"/>
    <w:rsid w:val="0048352E"/>
    <w:rsid w:val="00484CE8"/>
    <w:rsid w:val="00491C6E"/>
    <w:rsid w:val="004A5DF5"/>
    <w:rsid w:val="004A6EE3"/>
    <w:rsid w:val="004B0888"/>
    <w:rsid w:val="004B6232"/>
    <w:rsid w:val="004C0EED"/>
    <w:rsid w:val="004C1F92"/>
    <w:rsid w:val="004C3DEF"/>
    <w:rsid w:val="004D2A21"/>
    <w:rsid w:val="004E5901"/>
    <w:rsid w:val="004E7F96"/>
    <w:rsid w:val="004F1D8F"/>
    <w:rsid w:val="004F304B"/>
    <w:rsid w:val="0050297F"/>
    <w:rsid w:val="0050463F"/>
    <w:rsid w:val="00513E0C"/>
    <w:rsid w:val="00531F24"/>
    <w:rsid w:val="00534FC8"/>
    <w:rsid w:val="005442FD"/>
    <w:rsid w:val="00547CCA"/>
    <w:rsid w:val="0055334A"/>
    <w:rsid w:val="0056218D"/>
    <w:rsid w:val="00563DE0"/>
    <w:rsid w:val="005717FD"/>
    <w:rsid w:val="00577762"/>
    <w:rsid w:val="00585D27"/>
    <w:rsid w:val="0058731A"/>
    <w:rsid w:val="00587691"/>
    <w:rsid w:val="0059010F"/>
    <w:rsid w:val="0059248B"/>
    <w:rsid w:val="005B0F7B"/>
    <w:rsid w:val="005B3956"/>
    <w:rsid w:val="005B5E4D"/>
    <w:rsid w:val="005C0A1F"/>
    <w:rsid w:val="005C3C59"/>
    <w:rsid w:val="005D0C85"/>
    <w:rsid w:val="005D5F3F"/>
    <w:rsid w:val="005E0436"/>
    <w:rsid w:val="005E595A"/>
    <w:rsid w:val="005E5D2D"/>
    <w:rsid w:val="005E642E"/>
    <w:rsid w:val="005F3D28"/>
    <w:rsid w:val="005F52AE"/>
    <w:rsid w:val="005F6E16"/>
    <w:rsid w:val="00602A30"/>
    <w:rsid w:val="006054BF"/>
    <w:rsid w:val="00606314"/>
    <w:rsid w:val="00617301"/>
    <w:rsid w:val="0063284A"/>
    <w:rsid w:val="00646289"/>
    <w:rsid w:val="00646C58"/>
    <w:rsid w:val="0065320E"/>
    <w:rsid w:val="00664752"/>
    <w:rsid w:val="00664FC9"/>
    <w:rsid w:val="00673ABE"/>
    <w:rsid w:val="006777CE"/>
    <w:rsid w:val="006934E1"/>
    <w:rsid w:val="00694200"/>
    <w:rsid w:val="0069616E"/>
    <w:rsid w:val="006A0604"/>
    <w:rsid w:val="006A7042"/>
    <w:rsid w:val="006A7123"/>
    <w:rsid w:val="006A71BC"/>
    <w:rsid w:val="006B0F4B"/>
    <w:rsid w:val="006D456D"/>
    <w:rsid w:val="006D6170"/>
    <w:rsid w:val="006D7313"/>
    <w:rsid w:val="006E5C14"/>
    <w:rsid w:val="006F408B"/>
    <w:rsid w:val="00703777"/>
    <w:rsid w:val="00704BD7"/>
    <w:rsid w:val="00707437"/>
    <w:rsid w:val="00712D13"/>
    <w:rsid w:val="00716804"/>
    <w:rsid w:val="00721A2C"/>
    <w:rsid w:val="00737A20"/>
    <w:rsid w:val="0074381E"/>
    <w:rsid w:val="00747913"/>
    <w:rsid w:val="00754417"/>
    <w:rsid w:val="00774B41"/>
    <w:rsid w:val="00787215"/>
    <w:rsid w:val="00795DC2"/>
    <w:rsid w:val="007A71D6"/>
    <w:rsid w:val="007B750A"/>
    <w:rsid w:val="007C0CD1"/>
    <w:rsid w:val="007C20C6"/>
    <w:rsid w:val="007C220B"/>
    <w:rsid w:val="007C257B"/>
    <w:rsid w:val="007C4FF4"/>
    <w:rsid w:val="007E0D5B"/>
    <w:rsid w:val="007E2276"/>
    <w:rsid w:val="007E418A"/>
    <w:rsid w:val="007F218B"/>
    <w:rsid w:val="00810D0C"/>
    <w:rsid w:val="00821776"/>
    <w:rsid w:val="00824025"/>
    <w:rsid w:val="008277F5"/>
    <w:rsid w:val="0083475B"/>
    <w:rsid w:val="008370F2"/>
    <w:rsid w:val="00841058"/>
    <w:rsid w:val="00844953"/>
    <w:rsid w:val="00846C2E"/>
    <w:rsid w:val="00847B3C"/>
    <w:rsid w:val="00851ECC"/>
    <w:rsid w:val="00861D45"/>
    <w:rsid w:val="00866211"/>
    <w:rsid w:val="00890F33"/>
    <w:rsid w:val="00895DA6"/>
    <w:rsid w:val="008A2192"/>
    <w:rsid w:val="008A584F"/>
    <w:rsid w:val="008B0BE1"/>
    <w:rsid w:val="008C6A37"/>
    <w:rsid w:val="008D0B65"/>
    <w:rsid w:val="008D7A7F"/>
    <w:rsid w:val="008E4B67"/>
    <w:rsid w:val="008F0A65"/>
    <w:rsid w:val="008F2622"/>
    <w:rsid w:val="008F7F2F"/>
    <w:rsid w:val="00904239"/>
    <w:rsid w:val="0090543A"/>
    <w:rsid w:val="00912DED"/>
    <w:rsid w:val="009224E2"/>
    <w:rsid w:val="00922C71"/>
    <w:rsid w:val="00926533"/>
    <w:rsid w:val="00931ADF"/>
    <w:rsid w:val="009339F5"/>
    <w:rsid w:val="00933DD8"/>
    <w:rsid w:val="00934F3E"/>
    <w:rsid w:val="00937D77"/>
    <w:rsid w:val="00946BC0"/>
    <w:rsid w:val="00962587"/>
    <w:rsid w:val="009822BE"/>
    <w:rsid w:val="00990C9A"/>
    <w:rsid w:val="00991992"/>
    <w:rsid w:val="009970B7"/>
    <w:rsid w:val="009A08A7"/>
    <w:rsid w:val="009A3307"/>
    <w:rsid w:val="009A45FD"/>
    <w:rsid w:val="009A47C1"/>
    <w:rsid w:val="009B0D59"/>
    <w:rsid w:val="009B0FCC"/>
    <w:rsid w:val="009C3FA3"/>
    <w:rsid w:val="009C4227"/>
    <w:rsid w:val="009C5EC4"/>
    <w:rsid w:val="009D1FD1"/>
    <w:rsid w:val="009D2134"/>
    <w:rsid w:val="009E6A2C"/>
    <w:rsid w:val="009F0927"/>
    <w:rsid w:val="009F773B"/>
    <w:rsid w:val="00A01A53"/>
    <w:rsid w:val="00A020B8"/>
    <w:rsid w:val="00A1342C"/>
    <w:rsid w:val="00A155CC"/>
    <w:rsid w:val="00A169EE"/>
    <w:rsid w:val="00A202A2"/>
    <w:rsid w:val="00A25266"/>
    <w:rsid w:val="00A325D0"/>
    <w:rsid w:val="00A37FB3"/>
    <w:rsid w:val="00A410A3"/>
    <w:rsid w:val="00A43941"/>
    <w:rsid w:val="00A47CE4"/>
    <w:rsid w:val="00A47F4B"/>
    <w:rsid w:val="00A50357"/>
    <w:rsid w:val="00A52A4D"/>
    <w:rsid w:val="00A54C43"/>
    <w:rsid w:val="00A54C55"/>
    <w:rsid w:val="00A54DBE"/>
    <w:rsid w:val="00A62D36"/>
    <w:rsid w:val="00A64852"/>
    <w:rsid w:val="00A74096"/>
    <w:rsid w:val="00A8081F"/>
    <w:rsid w:val="00A8708A"/>
    <w:rsid w:val="00A918A4"/>
    <w:rsid w:val="00A91C28"/>
    <w:rsid w:val="00A92155"/>
    <w:rsid w:val="00A96D04"/>
    <w:rsid w:val="00AB093E"/>
    <w:rsid w:val="00AB0C23"/>
    <w:rsid w:val="00AB4CBC"/>
    <w:rsid w:val="00AB791A"/>
    <w:rsid w:val="00AC0500"/>
    <w:rsid w:val="00AC4DF4"/>
    <w:rsid w:val="00AD3AA5"/>
    <w:rsid w:val="00AD51D9"/>
    <w:rsid w:val="00AD6740"/>
    <w:rsid w:val="00AD6772"/>
    <w:rsid w:val="00AE14F7"/>
    <w:rsid w:val="00AE3DA6"/>
    <w:rsid w:val="00AF0A58"/>
    <w:rsid w:val="00AF121D"/>
    <w:rsid w:val="00AF38CA"/>
    <w:rsid w:val="00B03433"/>
    <w:rsid w:val="00B100CB"/>
    <w:rsid w:val="00B1463F"/>
    <w:rsid w:val="00B25010"/>
    <w:rsid w:val="00B2697E"/>
    <w:rsid w:val="00B370F4"/>
    <w:rsid w:val="00B4348E"/>
    <w:rsid w:val="00B45D35"/>
    <w:rsid w:val="00B47C04"/>
    <w:rsid w:val="00B53EC1"/>
    <w:rsid w:val="00B64EB1"/>
    <w:rsid w:val="00B66815"/>
    <w:rsid w:val="00B66FA2"/>
    <w:rsid w:val="00B757C2"/>
    <w:rsid w:val="00B90553"/>
    <w:rsid w:val="00B91BBF"/>
    <w:rsid w:val="00B93818"/>
    <w:rsid w:val="00BA2588"/>
    <w:rsid w:val="00BA3C6F"/>
    <w:rsid w:val="00BA407A"/>
    <w:rsid w:val="00BB359F"/>
    <w:rsid w:val="00BB423E"/>
    <w:rsid w:val="00BC0DF6"/>
    <w:rsid w:val="00BC3841"/>
    <w:rsid w:val="00BC5E5F"/>
    <w:rsid w:val="00BC76FF"/>
    <w:rsid w:val="00BF3615"/>
    <w:rsid w:val="00BF54DA"/>
    <w:rsid w:val="00BF7933"/>
    <w:rsid w:val="00C04BEF"/>
    <w:rsid w:val="00C1455B"/>
    <w:rsid w:val="00C148BB"/>
    <w:rsid w:val="00C149C4"/>
    <w:rsid w:val="00C17C17"/>
    <w:rsid w:val="00C24562"/>
    <w:rsid w:val="00C378B1"/>
    <w:rsid w:val="00C435D4"/>
    <w:rsid w:val="00C50520"/>
    <w:rsid w:val="00C529D3"/>
    <w:rsid w:val="00C617EC"/>
    <w:rsid w:val="00C63085"/>
    <w:rsid w:val="00C64338"/>
    <w:rsid w:val="00C64EC0"/>
    <w:rsid w:val="00C70269"/>
    <w:rsid w:val="00C77359"/>
    <w:rsid w:val="00C77971"/>
    <w:rsid w:val="00C8411D"/>
    <w:rsid w:val="00C84F06"/>
    <w:rsid w:val="00C96C5A"/>
    <w:rsid w:val="00CA1B19"/>
    <w:rsid w:val="00CA68E2"/>
    <w:rsid w:val="00CB0036"/>
    <w:rsid w:val="00CB119F"/>
    <w:rsid w:val="00CC066C"/>
    <w:rsid w:val="00CE05B1"/>
    <w:rsid w:val="00CE5A0A"/>
    <w:rsid w:val="00CE6EAE"/>
    <w:rsid w:val="00CE7964"/>
    <w:rsid w:val="00CE7AC9"/>
    <w:rsid w:val="00CE7B3E"/>
    <w:rsid w:val="00CF3C5E"/>
    <w:rsid w:val="00D055B0"/>
    <w:rsid w:val="00D07F2D"/>
    <w:rsid w:val="00D13688"/>
    <w:rsid w:val="00D14C1F"/>
    <w:rsid w:val="00D15FA8"/>
    <w:rsid w:val="00D23791"/>
    <w:rsid w:val="00D23D4D"/>
    <w:rsid w:val="00D271C0"/>
    <w:rsid w:val="00D27938"/>
    <w:rsid w:val="00D27B83"/>
    <w:rsid w:val="00D51CC5"/>
    <w:rsid w:val="00D55851"/>
    <w:rsid w:val="00D574FF"/>
    <w:rsid w:val="00D608C7"/>
    <w:rsid w:val="00D6212B"/>
    <w:rsid w:val="00D710A8"/>
    <w:rsid w:val="00D710BD"/>
    <w:rsid w:val="00D8056F"/>
    <w:rsid w:val="00D877BB"/>
    <w:rsid w:val="00D92B61"/>
    <w:rsid w:val="00DB28E7"/>
    <w:rsid w:val="00DB3194"/>
    <w:rsid w:val="00DC08C9"/>
    <w:rsid w:val="00DD6E45"/>
    <w:rsid w:val="00DE477D"/>
    <w:rsid w:val="00DE5D74"/>
    <w:rsid w:val="00DE7CDF"/>
    <w:rsid w:val="00DF0B81"/>
    <w:rsid w:val="00DF2103"/>
    <w:rsid w:val="00DF4EF1"/>
    <w:rsid w:val="00DF6570"/>
    <w:rsid w:val="00E01833"/>
    <w:rsid w:val="00E27103"/>
    <w:rsid w:val="00E37F65"/>
    <w:rsid w:val="00E50A47"/>
    <w:rsid w:val="00E51564"/>
    <w:rsid w:val="00E62551"/>
    <w:rsid w:val="00E65451"/>
    <w:rsid w:val="00E65BBC"/>
    <w:rsid w:val="00E74166"/>
    <w:rsid w:val="00E75826"/>
    <w:rsid w:val="00E804B9"/>
    <w:rsid w:val="00E8177A"/>
    <w:rsid w:val="00E839D5"/>
    <w:rsid w:val="00E872DD"/>
    <w:rsid w:val="00E90B38"/>
    <w:rsid w:val="00E90C89"/>
    <w:rsid w:val="00E95C79"/>
    <w:rsid w:val="00EA4975"/>
    <w:rsid w:val="00EA6A5C"/>
    <w:rsid w:val="00EA7E75"/>
    <w:rsid w:val="00EB06BE"/>
    <w:rsid w:val="00EB6AAF"/>
    <w:rsid w:val="00EE270C"/>
    <w:rsid w:val="00EE37F3"/>
    <w:rsid w:val="00EE59CA"/>
    <w:rsid w:val="00EE6BD8"/>
    <w:rsid w:val="00EE6DAC"/>
    <w:rsid w:val="00F11449"/>
    <w:rsid w:val="00F211C0"/>
    <w:rsid w:val="00F224AE"/>
    <w:rsid w:val="00F34920"/>
    <w:rsid w:val="00F5220F"/>
    <w:rsid w:val="00F54E60"/>
    <w:rsid w:val="00F5688C"/>
    <w:rsid w:val="00F619E7"/>
    <w:rsid w:val="00F67141"/>
    <w:rsid w:val="00F729CE"/>
    <w:rsid w:val="00F81314"/>
    <w:rsid w:val="00F86B2D"/>
    <w:rsid w:val="00F86C27"/>
    <w:rsid w:val="00F86DF0"/>
    <w:rsid w:val="00F943D8"/>
    <w:rsid w:val="00FB4035"/>
    <w:rsid w:val="00FC57FA"/>
    <w:rsid w:val="00FC75D2"/>
    <w:rsid w:val="00FD5E04"/>
    <w:rsid w:val="00FE23D9"/>
    <w:rsid w:val="00FE3D89"/>
    <w:rsid w:val="00FE7BA7"/>
    <w:rsid w:val="00FF1C3D"/>
    <w:rsid w:val="01696E6E"/>
    <w:rsid w:val="027D35FD"/>
    <w:rsid w:val="07EA0E72"/>
    <w:rsid w:val="0AE778EA"/>
    <w:rsid w:val="0BCB4507"/>
    <w:rsid w:val="1D5F38F9"/>
    <w:rsid w:val="1D681DEC"/>
    <w:rsid w:val="1D7F361D"/>
    <w:rsid w:val="1F8452B0"/>
    <w:rsid w:val="268758BC"/>
    <w:rsid w:val="26CE5D88"/>
    <w:rsid w:val="27361586"/>
    <w:rsid w:val="285B7B62"/>
    <w:rsid w:val="2A6A2290"/>
    <w:rsid w:val="2B5F517B"/>
    <w:rsid w:val="3557428F"/>
    <w:rsid w:val="35A818A1"/>
    <w:rsid w:val="36B4EBB8"/>
    <w:rsid w:val="37FCFBDD"/>
    <w:rsid w:val="38DF0F19"/>
    <w:rsid w:val="3D407E3C"/>
    <w:rsid w:val="3F203F1E"/>
    <w:rsid w:val="3FCB28EB"/>
    <w:rsid w:val="40956B0D"/>
    <w:rsid w:val="41517290"/>
    <w:rsid w:val="47FDCDF3"/>
    <w:rsid w:val="4ADF5380"/>
    <w:rsid w:val="4E1E02D7"/>
    <w:rsid w:val="4F204931"/>
    <w:rsid w:val="4F797EA5"/>
    <w:rsid w:val="52CB7EBE"/>
    <w:rsid w:val="575C3E17"/>
    <w:rsid w:val="580D18D4"/>
    <w:rsid w:val="583354EA"/>
    <w:rsid w:val="58D93F32"/>
    <w:rsid w:val="5A3E05F0"/>
    <w:rsid w:val="5B0D5CEF"/>
    <w:rsid w:val="5CFD22CD"/>
    <w:rsid w:val="5FF9333B"/>
    <w:rsid w:val="607641C6"/>
    <w:rsid w:val="613A5033"/>
    <w:rsid w:val="629628FD"/>
    <w:rsid w:val="655E6C91"/>
    <w:rsid w:val="690F7F14"/>
    <w:rsid w:val="693A5856"/>
    <w:rsid w:val="6A2D5246"/>
    <w:rsid w:val="6FAC5075"/>
    <w:rsid w:val="6FBC55A3"/>
    <w:rsid w:val="73A82400"/>
    <w:rsid w:val="748F20DD"/>
    <w:rsid w:val="77A77E82"/>
    <w:rsid w:val="77BE736E"/>
    <w:rsid w:val="7BCD75C6"/>
    <w:rsid w:val="7ECE503D"/>
    <w:rsid w:val="7FD885B6"/>
    <w:rsid w:val="7FFF4223"/>
    <w:rsid w:val="8FEE0B1E"/>
    <w:rsid w:val="967FA9D3"/>
    <w:rsid w:val="BF3DF5C0"/>
    <w:rsid w:val="BFFF9C3A"/>
    <w:rsid w:val="CFDE2680"/>
    <w:rsid w:val="CFFCFB17"/>
    <w:rsid w:val="DB7BA227"/>
    <w:rsid w:val="DBB70F96"/>
    <w:rsid w:val="DCFCB04A"/>
    <w:rsid w:val="DEFFAB64"/>
    <w:rsid w:val="DF3AD55D"/>
    <w:rsid w:val="DFFF1E19"/>
    <w:rsid w:val="E7EB370F"/>
    <w:rsid w:val="EF558545"/>
    <w:rsid w:val="F0FEB611"/>
    <w:rsid w:val="F3E7BB80"/>
    <w:rsid w:val="F51C3534"/>
    <w:rsid w:val="FA5E3F2D"/>
    <w:rsid w:val="FDE5242F"/>
    <w:rsid w:val="FF7F20EE"/>
    <w:rsid w:val="FF9DC738"/>
    <w:rsid w:val="FFDFB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MS Serif" w:hAnsi="MS Serif"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MS Serif" w:hAnsi="MS Serif" w:eastAsia="宋体" w:cs="Times New Roman"/>
      <w:sz w:val="24"/>
      <w:lang w:val="en-US" w:eastAsia="zh-CN" w:bidi="ar-SA"/>
    </w:rPr>
  </w:style>
  <w:style w:type="paragraph" w:styleId="2">
    <w:name w:val="heading 1"/>
    <w:basedOn w:val="1"/>
    <w:next w:val="1"/>
    <w:link w:val="12"/>
    <w:qFormat/>
    <w:uiPriority w:val="9"/>
    <w:pPr>
      <w:keepNext/>
      <w:keepLines/>
      <w:spacing w:before="340" w:after="330" w:line="578" w:lineRule="atLeast"/>
      <w:outlineLvl w:val="0"/>
    </w:pPr>
    <w:rPr>
      <w:rFonts w:ascii="Times New Roman" w:hAnsi="Times New Roman"/>
      <w:b/>
      <w:bCs/>
      <w:kern w:val="44"/>
      <w:sz w:val="44"/>
      <w:szCs w:val="44"/>
    </w:rPr>
  </w:style>
  <w:style w:type="paragraph" w:styleId="3">
    <w:name w:val="heading 2"/>
    <w:basedOn w:val="1"/>
    <w:next w:val="1"/>
    <w:link w:val="13"/>
    <w:qFormat/>
    <w:uiPriority w:val="9"/>
    <w:pPr>
      <w:keepNext/>
      <w:keepLines/>
      <w:spacing w:before="260" w:after="260" w:line="416" w:lineRule="atLeast"/>
      <w:outlineLvl w:val="1"/>
    </w:pPr>
    <w:rPr>
      <w:rFonts w:ascii="Cambria" w:hAnsi="Cambria"/>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Document Map"/>
    <w:basedOn w:val="1"/>
    <w:semiHidden/>
    <w:uiPriority w:val="0"/>
    <w:pPr>
      <w:shd w:val="clear" w:color="auto" w:fill="000080"/>
    </w:pPr>
  </w:style>
  <w:style w:type="paragraph" w:styleId="5">
    <w:name w:val="Balloon Text"/>
    <w:basedOn w:val="1"/>
    <w:link w:val="14"/>
    <w:uiPriority w:val="0"/>
    <w:pPr>
      <w:spacing w:line="240" w:lineRule="auto"/>
    </w:pPr>
    <w:rPr>
      <w:sz w:val="18"/>
      <w:szCs w:val="18"/>
    </w:rPr>
  </w:style>
  <w:style w:type="paragraph" w:styleId="6">
    <w:name w:val="footer"/>
    <w:basedOn w:val="1"/>
    <w:link w:val="15"/>
    <w:qFormat/>
    <w:uiPriority w:val="99"/>
    <w:pPr>
      <w:tabs>
        <w:tab w:val="center" w:pos="4153"/>
        <w:tab w:val="right" w:pos="8306"/>
      </w:tabs>
      <w:snapToGrid w:val="0"/>
      <w:spacing w:line="240" w:lineRule="atLeast"/>
    </w:pPr>
    <w:rPr>
      <w:sz w:val="18"/>
      <w:szCs w:val="18"/>
    </w:rPr>
  </w:style>
  <w:style w:type="paragraph" w:styleId="7">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1">
    <w:name w:val="page number"/>
    <w:qFormat/>
    <w:uiPriority w:val="0"/>
  </w:style>
  <w:style w:type="character" w:customStyle="1" w:styleId="12">
    <w:name w:val="标题 1 Char"/>
    <w:link w:val="2"/>
    <w:qFormat/>
    <w:uiPriority w:val="9"/>
    <w:rPr>
      <w:rFonts w:ascii="Times New Roman" w:hAnsi="Times New Roman"/>
      <w:b/>
      <w:bCs/>
      <w:kern w:val="44"/>
      <w:sz w:val="44"/>
      <w:szCs w:val="44"/>
    </w:rPr>
  </w:style>
  <w:style w:type="character" w:customStyle="1" w:styleId="13">
    <w:name w:val="标题 2 Char"/>
    <w:link w:val="3"/>
    <w:qFormat/>
    <w:uiPriority w:val="9"/>
    <w:rPr>
      <w:rFonts w:ascii="Cambria" w:hAnsi="Cambria"/>
      <w:b/>
      <w:bCs/>
      <w:sz w:val="32"/>
      <w:szCs w:val="32"/>
    </w:rPr>
  </w:style>
  <w:style w:type="character" w:customStyle="1" w:styleId="14">
    <w:name w:val="批注框文本 Char"/>
    <w:link w:val="5"/>
    <w:qFormat/>
    <w:uiPriority w:val="0"/>
    <w:rPr>
      <w:sz w:val="18"/>
      <w:szCs w:val="18"/>
    </w:rPr>
  </w:style>
  <w:style w:type="character" w:customStyle="1" w:styleId="15">
    <w:name w:val="页脚 Char"/>
    <w:link w:val="6"/>
    <w:qFormat/>
    <w:uiPriority w:val="99"/>
    <w:rPr>
      <w:sz w:val="18"/>
      <w:szCs w:val="18"/>
    </w:rPr>
  </w:style>
  <w:style w:type="paragraph" w:customStyle="1" w:styleId="16">
    <w:name w:val="Char Char"/>
    <w:basedOn w:val="4"/>
    <w:qFormat/>
    <w:uiPriority w:val="0"/>
    <w:pPr>
      <w:adjustRightInd/>
      <w:spacing w:line="240" w:lineRule="auto"/>
      <w:jc w:val="both"/>
      <w:textAlignment w:val="auto"/>
    </w:pPr>
  </w:style>
  <w:style w:type="paragraph" w:styleId="17">
    <w:name w:val="List Paragraph"/>
    <w:basedOn w:val="1"/>
    <w:qFormat/>
    <w:uiPriority w:val="34"/>
    <w:pPr>
      <w:adjustRightInd/>
      <w:spacing w:line="240" w:lineRule="auto"/>
      <w:ind w:firstLine="420" w:firstLineChars="200"/>
      <w:jc w:val="both"/>
      <w:textAlignment w:val="auto"/>
    </w:pPr>
    <w:rPr>
      <w:rFonts w:ascii="Calibri" w:hAnsi="Calibr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3214</Words>
  <Characters>3637</Characters>
  <Lines>35</Lines>
  <Paragraphs>10</Paragraphs>
  <TotalTime>93</TotalTime>
  <ScaleCrop>false</ScaleCrop>
  <LinksUpToDate>false</LinksUpToDate>
  <CharactersWithSpaces>3750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2019-02-04T15:44:00Z</dcterms:created>
  <dc:creator>朱春礼</dc:creator>
  <cp:lastModifiedBy>畅</cp:lastModifiedBy>
  <cp:lastPrinted>2024-02-01T19:41:00Z</cp:lastPrinted>
  <dcterms:modified xsi:type="dcterms:W3CDTF">2025-03-24T08:47:39Z</dcterms:modified>
  <dc:title>附件1</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3F7BC6DA426745FDB03561C67ADE3C65_13</vt:lpwstr>
  </property>
  <property fmtid="{D5CDD505-2E9C-101B-9397-08002B2CF9AE}" pid="4" name="KSOTemplateDocerSaveRecord">
    <vt:lpwstr>eyJoZGlkIjoiNGFlMjU4Zjc4ZDM2NzZmMTQzOGEzMDYzNjM0NjI2MGQiLCJ1c2VySWQiOiIyMzg2MDkwNjcifQ==</vt:lpwstr>
  </property>
</Properties>
</file>