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  <w:rPr>
          <w:sz w:val="22"/>
          <w:szCs w:val="22"/>
        </w:rPr>
      </w:pPr>
      <w:r>
        <w:rPr>
          <w:rFonts w:ascii="方正小标宋_GBK" w:hAnsi="方正小标宋_GBK" w:eastAsia="方正小标宋_GBK" w:cs="方正小标宋_GBK"/>
          <w:sz w:val="56"/>
          <w:szCs w:val="22"/>
        </w:rPr>
        <w:t>中新天津生态城</w:t>
      </w:r>
      <w:r>
        <w:rPr>
          <w:rFonts w:hint="eastAsia" w:ascii="方正小标宋_GBK" w:hAnsi="方正小标宋_GBK" w:eastAsia="方正小标宋_GBK" w:cs="方正小标宋_GBK"/>
          <w:sz w:val="56"/>
          <w:szCs w:val="22"/>
          <w:lang w:eastAsia="zh-CN"/>
        </w:rPr>
        <w:t>社区卫生服务中心</w:t>
      </w:r>
    </w:p>
    <w:p>
      <w:pPr>
        <w:jc w:val="center"/>
        <w:rPr>
          <w:sz w:val="22"/>
          <w:szCs w:val="22"/>
        </w:rPr>
      </w:pPr>
      <w:r>
        <w:rPr>
          <w:rFonts w:ascii="方正小标宋_GBK" w:hAnsi="方正小标宋_GBK" w:eastAsia="方正小标宋_GBK" w:cs="方正小标宋_GBK"/>
          <w:sz w:val="56"/>
          <w:szCs w:val="22"/>
        </w:rPr>
        <w:t>2024年</w:t>
      </w:r>
      <w:r>
        <w:rPr>
          <w:rFonts w:hint="eastAsia" w:ascii="方正小标宋_GBK" w:hAnsi="方正小标宋_GBK" w:eastAsia="方正小标宋_GBK" w:cs="方正小标宋_GBK"/>
          <w:sz w:val="56"/>
          <w:szCs w:val="22"/>
          <w:lang w:val="en-US" w:eastAsia="zh-CN"/>
        </w:rPr>
        <w:t>单位</w:t>
      </w:r>
      <w:r>
        <w:rPr>
          <w:rFonts w:ascii="方正小标宋_GBK" w:hAnsi="方正小标宋_GBK" w:eastAsia="方正小标宋_GBK" w:cs="方正小标宋_GBK"/>
          <w:sz w:val="56"/>
          <w:szCs w:val="22"/>
        </w:rPr>
        <w:t>预算绩效文本</w:t>
      </w:r>
    </w:p>
    <w:p>
      <w:pPr>
        <w:jc w:val="center"/>
      </w:pP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bookmarkStart w:id="1" w:name="_GoBack"/>
      <w:bookmarkEnd w:id="1"/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  <w:r>
        <w:rPr>
          <w:rFonts w:ascii="方正楷体_GBK" w:hAnsi="方正楷体_GBK" w:eastAsia="方正楷体_GBK" w:cs="方正楷体_GBK"/>
          <w:b/>
          <w:sz w:val="32"/>
        </w:rPr>
        <w:t>中新天津生态城</w:t>
      </w:r>
      <w:r>
        <w:rPr>
          <w:rFonts w:hint="eastAsia" w:ascii="方正楷体_GBK" w:hAnsi="方正楷体_GBK" w:eastAsia="方正楷体_GBK" w:cs="方正楷体_GBK"/>
          <w:b/>
          <w:sz w:val="32"/>
          <w:lang w:val="en-US" w:eastAsia="zh-CN"/>
        </w:rPr>
        <w:t>社区卫生服务中心</w:t>
      </w:r>
    </w:p>
    <w:p>
      <w:pPr>
        <w:numPr>
          <w:ilvl w:val="0"/>
          <w:numId w:val="1"/>
        </w:numPr>
        <w:ind w:firstLine="560"/>
        <w:outlineLvl w:val="3"/>
        <w:rPr>
          <w:rFonts w:ascii="方正仿宋_GBK" w:hAnsi="方正仿宋_GBK" w:eastAsia="方正仿宋_GBK" w:cs="方正仿宋_GBK"/>
          <w:sz w:val="28"/>
        </w:rPr>
      </w:pPr>
      <w:bookmarkStart w:id="0" w:name="_Toc_4_4_0000000004"/>
      <w:r>
        <w:rPr>
          <w:rFonts w:hint="eastAsia" w:ascii="方正仿宋_GBK" w:hAnsi="方正仿宋_GBK" w:eastAsia="方正仿宋_GBK" w:cs="方正仿宋_GBK"/>
          <w:sz w:val="28"/>
          <w:lang w:eastAsia="zh-CN"/>
        </w:rPr>
        <w:t>项目</w:t>
      </w:r>
      <w:r>
        <w:rPr>
          <w:rFonts w:ascii="方正仿宋_GBK" w:hAnsi="方正仿宋_GBK" w:eastAsia="方正仿宋_GBK" w:cs="方正仿宋_GBK"/>
          <w:sz w:val="28"/>
        </w:rPr>
        <w:t>绩效目标表</w:t>
      </w:r>
      <w:bookmarkEnd w:id="0"/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jc w:val="right"/>
        <w:outlineLvl w:val="3"/>
        <w:rPr>
          <w:rFonts w:ascii="方正仿宋_GBK" w:hAnsi="方正仿宋_GBK" w:eastAsia="方正仿宋_GBK" w:cs="方正仿宋_GBK"/>
          <w:sz w:val="28"/>
        </w:rPr>
      </w:pPr>
      <w:r>
        <w:t>单位：元</w:t>
      </w:r>
    </w:p>
    <w:tbl>
      <w:tblPr>
        <w:tblStyle w:val="5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507"/>
        <w:gridCol w:w="1513"/>
        <w:gridCol w:w="1787"/>
        <w:gridCol w:w="1625"/>
        <w:gridCol w:w="1138"/>
        <w:gridCol w:w="1020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社区医院人员经费2024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507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513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19000000.00</w:t>
            </w:r>
          </w:p>
        </w:tc>
        <w:tc>
          <w:tcPr>
            <w:tcW w:w="1787" w:type="dxa"/>
            <w:vAlign w:val="center"/>
          </w:tcPr>
          <w:p>
            <w:pPr>
              <w:pStyle w:val="14"/>
            </w:pPr>
            <w:r>
              <w:t>其中：财政资金</w:t>
            </w:r>
          </w:p>
        </w:tc>
        <w:tc>
          <w:tcPr>
            <w:tcW w:w="1625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t xml:space="preserve"> </w:t>
            </w:r>
            <w:r>
              <w:rPr>
                <w:rFonts w:hint="eastAsia"/>
                <w:lang w:val="en-US" w:eastAsia="zh-CN"/>
              </w:rPr>
              <w:t>19000000.00</w:t>
            </w:r>
          </w:p>
        </w:tc>
        <w:tc>
          <w:tcPr>
            <w:tcW w:w="1138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020" w:type="dxa"/>
            <w:vAlign w:val="center"/>
          </w:tcPr>
          <w:p>
            <w:pPr>
              <w:pStyle w:val="13"/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发放基本工资、绩效、福利等费用，保障人员正常工作，提高人员工作积极性。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发放基本工资、绩效、福利等费用，保障人员正常工作，提高人员工作积极性。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2306"/>
        <w:gridCol w:w="2213"/>
        <w:gridCol w:w="27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2306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213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794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数量指标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发放工资人员数量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发放工资人员数量</w:t>
            </w:r>
          </w:p>
        </w:tc>
        <w:tc>
          <w:tcPr>
            <w:tcW w:w="279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≥87人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质量指标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资金发放合规率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反映人员经费发放是否符合各项规定。</w:t>
            </w:r>
          </w:p>
        </w:tc>
        <w:tc>
          <w:tcPr>
            <w:tcW w:w="279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时效指标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资金发放及时率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反映人员经费及时支付情况。</w:t>
            </w:r>
          </w:p>
        </w:tc>
        <w:tc>
          <w:tcPr>
            <w:tcW w:w="279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成本指标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项目预算控制数</w:t>
            </w:r>
          </w:p>
        </w:tc>
        <w:tc>
          <w:tcPr>
            <w:tcW w:w="279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≤1900万元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保障人员正常工作，提高人员工作积极性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保障人员正常工作，提高人员工作积极性</w:t>
            </w:r>
          </w:p>
        </w:tc>
        <w:tc>
          <w:tcPr>
            <w:tcW w:w="279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有效保障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单位员工满意度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单位员工满意度</w:t>
            </w:r>
          </w:p>
        </w:tc>
        <w:tc>
          <w:tcPr>
            <w:tcW w:w="279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90%</w:t>
            </w:r>
          </w:p>
        </w:tc>
      </w:tr>
    </w:tbl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p>
      <w:pPr>
        <w:numPr>
          <w:ilvl w:val="0"/>
          <w:numId w:val="0"/>
        </w:numPr>
        <w:outlineLvl w:val="3"/>
        <w:rPr>
          <w:rFonts w:ascii="方正仿宋_GBK" w:hAnsi="方正仿宋_GBK" w:eastAsia="方正仿宋_GBK" w:cs="方正仿宋_GBK"/>
          <w:sz w:val="28"/>
        </w:rPr>
      </w:pPr>
    </w:p>
    <w:tbl>
      <w:tblPr>
        <w:tblStyle w:val="5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531"/>
        <w:gridCol w:w="1725"/>
        <w:gridCol w:w="1413"/>
        <w:gridCol w:w="1112"/>
        <w:gridCol w:w="1533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33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</w:tc>
        <w:tc>
          <w:tcPr>
            <w:tcW w:w="1533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社区医院医疗运营经费2024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531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24784000.00</w:t>
            </w:r>
          </w:p>
        </w:tc>
        <w:tc>
          <w:tcPr>
            <w:tcW w:w="1725" w:type="dxa"/>
            <w:vAlign w:val="center"/>
          </w:tcPr>
          <w:p>
            <w:pPr>
              <w:pStyle w:val="14"/>
            </w:pPr>
            <w:r>
              <w:t>其中：财政资金</w:t>
            </w:r>
          </w:p>
        </w:tc>
        <w:tc>
          <w:tcPr>
            <w:tcW w:w="1413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112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533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24784000.00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保证本区域居民用药，购买医疗设备及耗材，2024年中心着力加强中医康复、儿科、糖尿病规范化门诊等学科建设，进一步提高中心诊疗水平。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保证本区域居民用药，购买医疗设备及耗材，2024年中心着力加强中医康复、儿科、糖尿病规范化门诊等学科建设，进一步提高中心诊疗水平。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507"/>
        <w:gridCol w:w="2500"/>
        <w:gridCol w:w="2463"/>
        <w:gridCol w:w="211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507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2500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463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119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数量指标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家庭医生签约服务人数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家庭医生签约服务人数</w:t>
            </w:r>
          </w:p>
        </w:tc>
        <w:tc>
          <w:tcPr>
            <w:tcW w:w="21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29000人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数量指标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本年购药种类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本年购药种类</w:t>
            </w:r>
          </w:p>
        </w:tc>
        <w:tc>
          <w:tcPr>
            <w:tcW w:w="21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≥200种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数量指标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仪器设备购置数量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仪器设备购置数量</w:t>
            </w:r>
          </w:p>
        </w:tc>
        <w:tc>
          <w:tcPr>
            <w:tcW w:w="21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质量指标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家庭医生签约服务费支付准确率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家庭医生签约服务费支付准确率</w:t>
            </w:r>
          </w:p>
        </w:tc>
        <w:tc>
          <w:tcPr>
            <w:tcW w:w="21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质量指标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居民用药准确性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居民用药准确性</w:t>
            </w:r>
          </w:p>
        </w:tc>
        <w:tc>
          <w:tcPr>
            <w:tcW w:w="21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显著提高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质量指标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设备到货验收合格率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设备到货验收合格率</w:t>
            </w:r>
          </w:p>
        </w:tc>
        <w:tc>
          <w:tcPr>
            <w:tcW w:w="21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时效指标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家庭医生签约工作任务按期完成率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家庭医生签约工作任务按期完成率</w:t>
            </w:r>
          </w:p>
        </w:tc>
        <w:tc>
          <w:tcPr>
            <w:tcW w:w="21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时效指标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居民用药及时性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居民用药及时性</w:t>
            </w:r>
          </w:p>
        </w:tc>
        <w:tc>
          <w:tcPr>
            <w:tcW w:w="21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显著提高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时效指标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设备购置完成及时率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设备购置完成及时率</w:t>
            </w:r>
          </w:p>
        </w:tc>
        <w:tc>
          <w:tcPr>
            <w:tcW w:w="21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成本指标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家庭医生签约奖金支出金额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家庭医生签约奖金支出金额</w:t>
            </w:r>
          </w:p>
        </w:tc>
        <w:tc>
          <w:tcPr>
            <w:tcW w:w="21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257万元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成本指标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本年购药金额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本年购药金额</w:t>
            </w:r>
          </w:p>
        </w:tc>
        <w:tc>
          <w:tcPr>
            <w:tcW w:w="21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0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成本指标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设备购置成本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设备购置成本</w:t>
            </w:r>
          </w:p>
        </w:tc>
        <w:tc>
          <w:tcPr>
            <w:tcW w:w="21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≤100万元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507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居民购药便利性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居民购药便利性</w:t>
            </w:r>
          </w:p>
        </w:tc>
        <w:tc>
          <w:tcPr>
            <w:tcW w:w="21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显著提高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07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医疗服务效率提高程度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医疗服务效率提高程度</w:t>
            </w:r>
          </w:p>
        </w:tc>
        <w:tc>
          <w:tcPr>
            <w:tcW w:w="21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507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医务人员满意度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医务人员满意度</w:t>
            </w:r>
          </w:p>
        </w:tc>
        <w:tc>
          <w:tcPr>
            <w:tcW w:w="21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07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服务辖区居民满意度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服务辖区居民满意度</w:t>
            </w:r>
          </w:p>
        </w:tc>
        <w:tc>
          <w:tcPr>
            <w:tcW w:w="21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07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500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患者对药品发放准确性满意度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患者对药品发放准确性满意度</w:t>
            </w:r>
          </w:p>
        </w:tc>
        <w:tc>
          <w:tcPr>
            <w:tcW w:w="211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Times New Roman" w:hAnsi="Times New Roman" w:eastAsia="Times New Roman" w:cs="Times New Roman"/>
                <w:sz w:val="24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</w:tr>
    </w:tbl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both"/>
        <w:rPr>
          <w:rFonts w:ascii="方正仿宋_GBK" w:hAnsi="方正仿宋_GBK" w:eastAsia="方正仿宋_GBK" w:cs="方正仿宋_GBK"/>
          <w:sz w:val="28"/>
        </w:rPr>
      </w:pPr>
    </w:p>
    <w:p>
      <w:pPr>
        <w:jc w:val="both"/>
        <w:rPr>
          <w:rFonts w:ascii="方正仿宋_GBK" w:hAnsi="方正仿宋_GBK" w:eastAsia="方正仿宋_GBK" w:cs="方正仿宋_GBK"/>
          <w:sz w:val="28"/>
        </w:rPr>
      </w:pPr>
    </w:p>
    <w:p>
      <w:pPr>
        <w:jc w:val="both"/>
        <w:rPr>
          <w:rFonts w:ascii="方正仿宋_GBK" w:hAnsi="方正仿宋_GBK" w:eastAsia="方正仿宋_GBK" w:cs="方正仿宋_GBK"/>
          <w:sz w:val="28"/>
        </w:rPr>
      </w:pPr>
    </w:p>
    <w:tbl>
      <w:tblPr>
        <w:tblStyle w:val="5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431"/>
        <w:gridCol w:w="1800"/>
        <w:gridCol w:w="1531"/>
        <w:gridCol w:w="1107"/>
        <w:gridCol w:w="1445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421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</w:p>
          <w:p>
            <w:pPr>
              <w:pStyle w:val="12"/>
            </w:pPr>
          </w:p>
        </w:tc>
        <w:tc>
          <w:tcPr>
            <w:tcW w:w="1445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社区医院基本公共卫生服务2024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431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6680000.00</w:t>
            </w:r>
          </w:p>
        </w:tc>
        <w:tc>
          <w:tcPr>
            <w:tcW w:w="1800" w:type="dxa"/>
            <w:vAlign w:val="center"/>
          </w:tcPr>
          <w:p>
            <w:pPr>
              <w:pStyle w:val="14"/>
            </w:pPr>
            <w:r>
              <w:t>其中：财政资金</w:t>
            </w:r>
          </w:p>
        </w:tc>
        <w:tc>
          <w:tcPr>
            <w:tcW w:w="1531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107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445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6680000.00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通过完成辖区基本公共卫生服务工作，持续扩大基本公共卫生服务覆盖面、优化服务内涵、提高服务质量，有效提升基本公共卫生服务均等化水平，实施健康中国行动十四五规划。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通过完成辖区基本公共卫生服务工作，持续扩大基本公共卫生服务覆盖面、优化服务内涵、提高服务质量，有效提升基本公共卫生服务均等化水平，实施健康中国行动十四五规划。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2306"/>
        <w:gridCol w:w="2213"/>
        <w:gridCol w:w="27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2306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213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794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居民电子健康档案建档人数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居民电子健康档案建档人数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≥77000人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适龄儿童国家免疫规划疫苗接种人次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适龄儿童国家免疫规划疫苗接种人次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≥40000人次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0-6岁儿童健康管理人数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0-6岁儿童健康管理人数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≥3300人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孕产妇系统管理人数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孕产妇系统管理人数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≥800人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高血压患者管理人数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高血压患者管理人数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≥7450人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2型糖尿病患者管理人数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2型糖尿病患者管理人数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≥3100人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老年人中医药健康管理率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老年人中医药健康管理率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≥72%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0-3岁儿童中医药健康管理人数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0-3岁儿童中医药健康管理人数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居民规范化电子健康档案覆盖率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居民规范化电子健康档案覆盖率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≥72%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老年人城乡社区规范健康管理率服务率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老年人城乡社区规范健康管理率服务率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≥65%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高血压患者规范管理率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高血压患者规范管理率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2型糖尿病患者规范管理率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2型糖尿病患者规范管理率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社区在册居家严重精神障碍患者健康管理率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社区在册居家严重精神障碍患者健康管理率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肺结核患者管理率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肺结核患者管理率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传染病和突发公共卫生事件报告率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传染病和突发公共卫生事件报告率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基本公共卫生服务工作开展时间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基本公共卫生服务工作开展时间</w:t>
            </w:r>
          </w:p>
        </w:tc>
        <w:tc>
          <w:tcPr>
            <w:tcW w:w="279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2024年1月-12月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家庭医生签约工作任务按期完成率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家庭医生签约工作任务按期完成率</w:t>
            </w:r>
          </w:p>
        </w:tc>
        <w:tc>
          <w:tcPr>
            <w:tcW w:w="2794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人均基本公共卫生服务经费补助标准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人均基本公共卫生服务经费补助标准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109元/人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家庭医生签约奖金支出金额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家庭医生签约奖金支出金额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≤257万元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城乡居民公共卫生差距不断缩小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城乡居民公共卫生差距不断缩小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不断缩小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居民健康素养水平不断提高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居民健康素养水平不断提高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不断提高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基本公共卫生服务水平不断提高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基本公共卫生服务水平不断提高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不断提高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服务辖区居民满意度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服务辖区居民满意度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≥80%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医疗服务满意度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医疗服务满意度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2306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医务人员满意度</w:t>
            </w:r>
          </w:p>
        </w:tc>
        <w:tc>
          <w:tcPr>
            <w:tcW w:w="221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医务人员满意度</w:t>
            </w:r>
          </w:p>
        </w:tc>
        <w:tc>
          <w:tcPr>
            <w:tcW w:w="27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≥90%</w:t>
            </w:r>
          </w:p>
        </w:tc>
      </w:tr>
    </w:tbl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both"/>
        <w:rPr>
          <w:rFonts w:ascii="方正仿宋_GBK" w:hAnsi="方正仿宋_GBK" w:eastAsia="方正仿宋_GBK" w:cs="方正仿宋_GBK"/>
          <w:sz w:val="28"/>
        </w:rPr>
      </w:pPr>
    </w:p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right"/>
        <w:rPr>
          <w:rFonts w:ascii="方正仿宋_GBK" w:hAnsi="方正仿宋_GBK" w:eastAsia="方正仿宋_GBK" w:cs="方正仿宋_GBK"/>
          <w:sz w:val="28"/>
        </w:rPr>
      </w:pPr>
      <w:r>
        <w:t>单位：元</w:t>
      </w:r>
    </w:p>
    <w:tbl>
      <w:tblPr>
        <w:tblStyle w:val="5"/>
        <w:tblW w:w="9866" w:type="dxa"/>
        <w:jc w:val="center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712"/>
        <w:gridCol w:w="1718"/>
        <w:gridCol w:w="1382"/>
        <w:gridCol w:w="1170"/>
      </w:tblGrid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  <w:rPr>
                <w:rFonts w:asciiTheme="minorHAnsi" w:hAnsiTheme="minorHAnsi"/>
                <w:lang w:val="uk-UA"/>
              </w:rPr>
            </w:pPr>
            <w:r>
              <w:rPr>
                <w:rFonts w:hint="eastAsia" w:asciiTheme="minorHAnsi" w:hAnsiTheme="minorHAnsi"/>
                <w:lang w:val="uk-UA"/>
              </w:rPr>
              <w:t>社区医院科教经费2024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42000.00</w:t>
            </w:r>
          </w:p>
        </w:tc>
        <w:tc>
          <w:tcPr>
            <w:tcW w:w="1712" w:type="dxa"/>
            <w:vAlign w:val="center"/>
          </w:tcPr>
          <w:p>
            <w:pPr>
              <w:pStyle w:val="14"/>
            </w:pPr>
            <w:r>
              <w:t>其中：财政资金</w:t>
            </w:r>
          </w:p>
        </w:tc>
        <w:tc>
          <w:tcPr>
            <w:tcW w:w="1718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382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170" w:type="dxa"/>
            <w:vAlign w:val="center"/>
          </w:tcPr>
          <w:p>
            <w:pPr>
              <w:pStyle w:val="13"/>
              <w:rPr>
                <w:rFonts w:hint="default" w:eastAsia="方正书宋_GBK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42000.00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/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新区131人才项目培养，培训高层次、紧缺和骨干技术人才。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FFFFFF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rPr>
                <w:rFonts w:hint="eastAsia"/>
              </w:rPr>
              <w:t>新区131人才项目培养，培训高层次、紧缺和骨干技术人才。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5"/>
        <w:tblW w:w="986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520"/>
        <w:gridCol w:w="1987"/>
        <w:gridCol w:w="2463"/>
        <w:gridCol w:w="261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520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987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2463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619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数量指标</w:t>
            </w:r>
          </w:p>
        </w:tc>
        <w:tc>
          <w:tcPr>
            <w:tcW w:w="19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培训高层次、紧缺和骨干技术人才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培训高层次、紧缺和骨干技术人才数量</w:t>
            </w:r>
          </w:p>
        </w:tc>
        <w:tc>
          <w:tcPr>
            <w:tcW w:w="26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质量指标</w:t>
            </w:r>
          </w:p>
        </w:tc>
        <w:tc>
          <w:tcPr>
            <w:tcW w:w="19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培养人才完成率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培养人才完成率</w:t>
            </w:r>
          </w:p>
        </w:tc>
        <w:tc>
          <w:tcPr>
            <w:tcW w:w="26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=100%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>
              <w:pStyle w:val="15"/>
            </w:pPr>
          </w:p>
        </w:tc>
        <w:tc>
          <w:tcPr>
            <w:tcW w:w="1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时效指标</w:t>
            </w:r>
          </w:p>
        </w:tc>
        <w:tc>
          <w:tcPr>
            <w:tcW w:w="19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项目周期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人才培养项目周期</w:t>
            </w:r>
          </w:p>
        </w:tc>
        <w:tc>
          <w:tcPr>
            <w:tcW w:w="26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=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/>
        </w:tc>
        <w:tc>
          <w:tcPr>
            <w:tcW w:w="152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方正书宋_GBK" w:hAnsi="方正书宋_GBK" w:eastAsia="方正书宋_GBK" w:cs="方正书宋_GBK"/>
                <w:sz w:val="21"/>
                <w:szCs w:val="24"/>
                <w:lang w:val="en-US" w:eastAsia="uk-UA" w:bidi="ar-SA"/>
              </w:rPr>
            </w:pPr>
            <w:r>
              <w:rPr>
                <w:rFonts w:hint="eastAsia" w:ascii="方正书宋_GBK" w:hAnsi="方正书宋_GBK" w:eastAsia="方正书宋_GBK" w:cs="方正书宋_GBK"/>
                <w:sz w:val="21"/>
                <w:szCs w:val="24"/>
                <w:lang w:val="en-US" w:eastAsia="zh-CN" w:bidi="ar-SA"/>
              </w:rPr>
              <w:t>成本指标</w:t>
            </w:r>
          </w:p>
        </w:tc>
        <w:tc>
          <w:tcPr>
            <w:tcW w:w="19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科教项目总体预算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人才培养项目总体预算</w:t>
            </w:r>
          </w:p>
        </w:tc>
        <w:tc>
          <w:tcPr>
            <w:tcW w:w="26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520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9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人才医疗科教水平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人才医疗科教水平</w:t>
            </w:r>
          </w:p>
        </w:tc>
        <w:tc>
          <w:tcPr>
            <w:tcW w:w="26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有效提高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520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987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单位员工满意度</w:t>
            </w:r>
          </w:p>
        </w:tc>
        <w:tc>
          <w:tcPr>
            <w:tcW w:w="2463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单位员工满意度</w:t>
            </w:r>
          </w:p>
        </w:tc>
        <w:tc>
          <w:tcPr>
            <w:tcW w:w="2619" w:type="dxa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/>
                <w:lang w:val="en-US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</w:t>
            </w:r>
            <w:r>
              <w:rPr>
                <w:rFonts w:hint="eastAsia" w:ascii="Calibri" w:hAnsi="Calibri" w:eastAsia="宋体" w:cs="Calibri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90%</w:t>
            </w:r>
          </w:p>
        </w:tc>
      </w:tr>
    </w:tbl>
    <w:p>
      <w:pPr>
        <w:jc w:val="center"/>
        <w:rPr>
          <w:rFonts w:ascii="方正仿宋_GBK" w:hAnsi="方正仿宋_GBK" w:eastAsia="方正仿宋_GBK" w:cs="方正仿宋_GBK"/>
          <w:sz w:val="28"/>
        </w:rPr>
      </w:pPr>
    </w:p>
    <w:p>
      <w:pPr>
        <w:jc w:val="both"/>
      </w:pPr>
    </w:p>
    <w:sectPr>
      <w:footerReference r:id="rId3" w:type="default"/>
      <w:footerReference r:id="rId4" w:type="even"/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方正书宋_GBK">
    <w:altName w:val="微软雅黑"/>
    <w:panose1 w:val="02000000000000000000"/>
    <w:charset w:val="86"/>
    <w:family w:val="roman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roman"/>
    <w:pitch w:val="default"/>
    <w:sig w:usb0="00000000" w:usb1="00000000" w:usb2="00000000" w:usb3="00000000" w:csb0="00040000" w:csb1="00000000"/>
  </w:font>
  <w:font w:name="方正楷体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63F6E4"/>
    <w:multiLevelType w:val="singleLevel"/>
    <w:tmpl w:val="B063F6E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NotTrackMoves/>
  <w:documentProtection w:enforcement="0"/>
  <w:defaultTabStop w:val="720"/>
  <w:evenAndOddHeaders w:val="1"/>
  <w:displayHorizontalDrawingGridEvery w:val="1"/>
  <w:displayVerticalDrawingGridEvery w:val="1"/>
  <w:noPunctuationKerning w:val="1"/>
  <w:characterSpacingControl w:val="doNotCompress"/>
  <w:compat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MyYzIwZDAwZGM3ZDRiMDc2NWU2YzhjODUyNDNkZjkifQ=="/>
  </w:docVars>
  <w:rsids>
    <w:rsidRoot w:val="00CE241E"/>
    <w:rsid w:val="001C0285"/>
    <w:rsid w:val="007F77BE"/>
    <w:rsid w:val="00CE241E"/>
    <w:rsid w:val="00D331BB"/>
    <w:rsid w:val="00E51673"/>
    <w:rsid w:val="104345BD"/>
    <w:rsid w:val="12F172F3"/>
    <w:rsid w:val="557B1CB0"/>
    <w:rsid w:val="5B9047A8"/>
    <w:rsid w:val="6F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3">
    <w:name w:val="toc 4"/>
    <w:basedOn w:val="1"/>
    <w:next w:val="1"/>
    <w:qFormat/>
    <w:uiPriority w:val="0"/>
    <w:pPr>
      <w:ind w:left="720"/>
    </w:pPr>
  </w:style>
  <w:style w:type="paragraph" w:styleId="4">
    <w:name w:val="toc 2"/>
    <w:basedOn w:val="1"/>
    <w:next w:val="1"/>
    <w:autoRedefine/>
    <w:qFormat/>
    <w:uiPriority w:val="0"/>
    <w:pPr>
      <w:ind w:left="240"/>
    </w:pPr>
  </w:style>
  <w:style w:type="table" w:styleId="6">
    <w:name w:val="Table Grid"/>
    <w:basedOn w:val="5"/>
    <w:autoRedefine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customStyle="1" w:styleId="8">
    <w:name w:val="插入文本样式-插入总体目标文件"/>
    <w:basedOn w:val="1"/>
    <w:autoRedefine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9">
    <w:name w:val="插入文本样式-插入职责分类绩效目标文件"/>
    <w:basedOn w:val="1"/>
    <w:autoRedefine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0">
    <w:name w:val="插入文本样式-插入实现年度发展规划目标的保障措施文件"/>
    <w:basedOn w:val="1"/>
    <w:autoRedefine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2">
    <w:name w:val="单元格样式5"/>
    <w:basedOn w:val="1"/>
    <w:autoRedefine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3">
    <w:name w:val="单元格样式2"/>
    <w:basedOn w:val="1"/>
    <w:autoRedefine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1"/>
    <w:basedOn w:val="1"/>
    <w:autoRedefine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3"/>
    <w:basedOn w:val="1"/>
    <w:autoRedefine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104</Words>
  <Characters>598</Characters>
  <Lines>4</Lines>
  <Paragraphs>1</Paragraphs>
  <TotalTime>13</TotalTime>
  <ScaleCrop>false</ScaleCrop>
  <LinksUpToDate>false</LinksUpToDate>
  <CharactersWithSpaces>701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2024-02-19T19:52:00Z</dcterms:created>
  <dc:creator>kylin</dc:creator>
  <cp:lastModifiedBy>Administrator</cp:lastModifiedBy>
  <dcterms:modified xsi:type="dcterms:W3CDTF">2024-02-27T01:29:48Z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6EED859224C84DF68D702EDEBB428FE1_13</vt:lpwstr>
  </property>
</Properties>
</file>