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477C64" w:rsidRDefault="00477C64">
      <w:pPr>
        <w:autoSpaceDE w:val="0"/>
        <w:autoSpaceDN w:val="0"/>
        <w:adjustRightInd w:val="0"/>
        <w:jc w:val="center"/>
        <w:rPr>
          <w:rFonts w:ascii="Times New Roman" w:eastAsia="方正小标宋简体" w:hAnsi="Times New Roman" w:cs="方正小标宋简体"/>
          <w:kern w:val="0"/>
          <w:sz w:val="48"/>
          <w:szCs w:val="48"/>
          <w:lang w:val="zh-CN"/>
        </w:rPr>
      </w:pPr>
    </w:p>
    <w:p w:rsidR="006C6288" w:rsidRDefault="00A105F6">
      <w:pPr>
        <w:autoSpaceDE w:val="0"/>
        <w:autoSpaceDN w:val="0"/>
        <w:adjustRightInd w:val="0"/>
        <w:jc w:val="center"/>
        <w:rPr>
          <w:rFonts w:ascii="Times New Roman" w:eastAsia="方正小标宋简体" w:hAnsi="Times New Roman" w:cs="方正小标宋简体" w:hint="eastAsia"/>
          <w:kern w:val="0"/>
          <w:sz w:val="48"/>
          <w:szCs w:val="48"/>
          <w:lang w:val="zh-CN"/>
        </w:rPr>
      </w:pPr>
      <w:r>
        <w:rPr>
          <w:rFonts w:ascii="Times New Roman" w:eastAsia="方正小标宋简体" w:hAnsi="Times New Roman" w:cs="方正小标宋简体" w:hint="eastAsia"/>
          <w:kern w:val="0"/>
          <w:sz w:val="48"/>
          <w:szCs w:val="48"/>
          <w:lang w:val="zh-CN"/>
        </w:rPr>
        <w:t>中新天津生态城文化旅游局</w:t>
      </w:r>
    </w:p>
    <w:p w:rsidR="00477C64" w:rsidRDefault="00A105F6">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77C64" w:rsidRDefault="00477C64">
      <w:pPr>
        <w:autoSpaceDE w:val="0"/>
        <w:autoSpaceDN w:val="0"/>
        <w:adjustRightInd w:val="0"/>
        <w:spacing w:line="580" w:lineRule="exact"/>
        <w:jc w:val="center"/>
        <w:rPr>
          <w:rFonts w:ascii="Times New Roman" w:eastAsia="黑体" w:hAnsi="Times New Roman" w:cs="黑体"/>
          <w:sz w:val="30"/>
          <w:szCs w:val="30"/>
        </w:rPr>
      </w:pPr>
    </w:p>
    <w:p w:rsidR="00477C64" w:rsidRDefault="00477C64">
      <w:pPr>
        <w:autoSpaceDE w:val="0"/>
        <w:autoSpaceDN w:val="0"/>
        <w:adjustRightInd w:val="0"/>
        <w:spacing w:line="580" w:lineRule="exact"/>
        <w:jc w:val="center"/>
        <w:rPr>
          <w:rFonts w:ascii="Times New Roman" w:eastAsia="黑体" w:hAnsi="Times New Roman" w:cs="黑体"/>
          <w:sz w:val="30"/>
          <w:szCs w:val="30"/>
        </w:rPr>
      </w:pPr>
    </w:p>
    <w:p w:rsidR="00477C64" w:rsidRDefault="00477C64">
      <w:pPr>
        <w:autoSpaceDE w:val="0"/>
        <w:autoSpaceDN w:val="0"/>
        <w:adjustRightInd w:val="0"/>
        <w:spacing w:line="580" w:lineRule="exact"/>
        <w:jc w:val="center"/>
        <w:rPr>
          <w:rFonts w:ascii="Times New Roman" w:eastAsia="黑体" w:hAnsi="Times New Roman" w:cs="黑体"/>
          <w:sz w:val="30"/>
          <w:szCs w:val="30"/>
        </w:rPr>
      </w:pPr>
    </w:p>
    <w:p w:rsidR="00477C64" w:rsidRDefault="00477C64">
      <w:pPr>
        <w:autoSpaceDE w:val="0"/>
        <w:autoSpaceDN w:val="0"/>
        <w:adjustRightInd w:val="0"/>
        <w:spacing w:line="580" w:lineRule="exact"/>
        <w:jc w:val="center"/>
        <w:rPr>
          <w:rFonts w:ascii="Times New Roman" w:eastAsia="黑体" w:hAnsi="Times New Roman" w:cs="黑体"/>
          <w:sz w:val="30"/>
          <w:szCs w:val="30"/>
        </w:rPr>
      </w:pPr>
    </w:p>
    <w:p w:rsidR="00477C64" w:rsidRDefault="00477C64">
      <w:pPr>
        <w:autoSpaceDE w:val="0"/>
        <w:autoSpaceDN w:val="0"/>
        <w:adjustRightInd w:val="0"/>
        <w:spacing w:line="580" w:lineRule="exact"/>
        <w:jc w:val="center"/>
        <w:rPr>
          <w:rFonts w:ascii="Times New Roman" w:eastAsia="黑体" w:hAnsi="Times New Roman" w:cs="黑体"/>
          <w:sz w:val="30"/>
          <w:szCs w:val="30"/>
        </w:rPr>
      </w:pPr>
    </w:p>
    <w:p w:rsidR="00477C64" w:rsidRDefault="00A105F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77C64" w:rsidRDefault="00A105F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77C64" w:rsidRDefault="00477C64">
      <w:pPr>
        <w:autoSpaceDE w:val="0"/>
        <w:autoSpaceDN w:val="0"/>
        <w:adjustRightInd w:val="0"/>
        <w:spacing w:line="600" w:lineRule="exact"/>
        <w:jc w:val="left"/>
        <w:rPr>
          <w:rFonts w:ascii="Times New Roman" w:eastAsia="黑体" w:hAnsi="Times New Roman" w:cs="黑体"/>
          <w:kern w:val="0"/>
          <w:sz w:val="30"/>
          <w:szCs w:val="30"/>
        </w:rPr>
      </w:pPr>
    </w:p>
    <w:p w:rsidR="00477C64" w:rsidRDefault="00A105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77C64" w:rsidRDefault="00A105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77C64" w:rsidRDefault="00A105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77C64" w:rsidRDefault="00A105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77C64" w:rsidRDefault="00A105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77C64" w:rsidRDefault="00A105F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77C64" w:rsidRDefault="00A105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477C64" w:rsidRDefault="00A105F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77C64"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贯彻执行国家、天津市、滨海新区有关文化、广播电影电视、新闻出版、文物和旅游工作的法律法规和政策；起草相关地方性法规、规章和政策，拟订文化、旅游业的行业发展规划，经批准后组织实施。</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负责旅游、文化艺术、广播电影电视、新闻出版、文物、非物质文化遗产的行业监管，依法规范文化和旅游市场。</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三</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负责区域旅游市场和文化市场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文物、新闻、出版、版权、音像、美术、娱乐、演艺、网吧等</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各类经营项目的备案和服务事项管理。</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四</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统筹公共文化事业发展，推动公共文化和全域旅游服务体系建设；负责规划、组织、指导区域文化活动和全民读书活动；组织、指导区域文化艺术研究创作和生产；加强区域内文化社团组织的指导和管理。</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五</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负责区域旅游、文化资源的开发利用工作；组织区域旅游、文化资源的普查；负责区域内文物保护、管理；负责区域内非物质文化遗产项目的普查、保护、申报等工作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组织编制全区文物保护规划；指导文物和博物馆业务工作。负责文化、旅游领域科技和智慧化建设。</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六</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协调配合上级主管部门开展生态城文化、旅游市场的行政执法工作。协调配合查处演出和娱乐、网吧及互联网上网服务、电子游</w:t>
      </w:r>
      <w:r>
        <w:rPr>
          <w:rFonts w:ascii="Times New Roman" w:eastAsia="仿宋_GB2312" w:hAnsi="Times New Roman" w:cs="仿宋_GB2312" w:hint="eastAsia"/>
          <w:sz w:val="30"/>
          <w:szCs w:val="30"/>
        </w:rPr>
        <w:lastRenderedPageBreak/>
        <w:t>戏、美术品销售、文物经营等活动中的违法行为；协调配合查处违法安装和设置卫星电视广播地面接收设施、违法接收和传送境外卫星电视节目和走私盗版影片放映行为；协调配合查处图书、报纸、期刊、音像制品、电子出版、网络出版、计算机软件等方面的违法违规出版活动和印刷、复制、出版物发行中的违法经营活动；协调配合查处侵权盗版行为。承担“扫黄打非”工作任务。负责文化、旅游领域安全生产监督管理。</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文化产业、旅游产业、配套商业等相关产业的招商引资工作；指导并负责文化、旅游产业发展；指导并主管文化、旅游协会等社会团体组织开展相关工作；协调推进大型文化、旅游项目的规划、建设及运营管理工作；负责管委会投资的文化旅游项目的运营管理。</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八</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负责区域内星级酒店、旅行社和旅游景区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的管理以及依法开展旅游市场监督检查；受理旅游投诉；规范旅游市场，优化旅游环境。</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九</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文化和旅游展会活动，负责生态城旅游整体形象的宣传推介，协调组织大型旅游节庆和文化旅游活动。参与规划、指导区域内重点旅游、文化设施建设；负责区域旅游、文化对外交流与合作；研究指导、协调文化旅游产品开发。</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十</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承担本领域安全生产管理责任。</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十一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承接对应滨海新区文化和旅游局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加挂区广播电视局牌子</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区新闻出版局相关职责，联系国家海洋博物馆。</w:t>
      </w:r>
      <w:r>
        <w:rPr>
          <w:rFonts w:ascii="Times New Roman" w:eastAsia="仿宋_GB2312" w:hAnsi="Times New Roman" w:cs="仿宋_GB2312" w:hint="eastAsia"/>
          <w:sz w:val="30"/>
          <w:szCs w:val="30"/>
        </w:rPr>
        <w:br/>
        <w:t>(</w:t>
      </w:r>
      <w:r>
        <w:rPr>
          <w:rFonts w:ascii="Times New Roman" w:eastAsia="仿宋_GB2312" w:hAnsi="Times New Roman" w:cs="仿宋_GB2312" w:hint="eastAsia"/>
          <w:sz w:val="30"/>
          <w:szCs w:val="30"/>
        </w:rPr>
        <w:t>十二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承办党委管委会交办的其他事项。</w:t>
      </w:r>
    </w:p>
    <w:p w:rsidR="00477C64" w:rsidRDefault="00A105F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77C64"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中新天津生态城文化旅游局内设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个职能科室；纳入中新天津生态城文化旅游局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77C64" w:rsidRDefault="00E85A9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w:t>
      </w:r>
      <w:r w:rsidR="00A105F6">
        <w:rPr>
          <w:rFonts w:ascii="Times New Roman" w:eastAsia="仿宋_GB2312" w:hAnsi="Times New Roman" w:cs="仿宋_GB2312" w:hint="eastAsia"/>
          <w:sz w:val="30"/>
          <w:szCs w:val="30"/>
        </w:rPr>
        <w:t>中新天津生态城文化旅游局部门本级</w:t>
      </w:r>
    </w:p>
    <w:p w:rsidR="00477C64" w:rsidRDefault="00A105F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77C64" w:rsidRDefault="00A105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77C64" w:rsidRDefault="00477C6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77C64" w:rsidRDefault="00A105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77C64" w:rsidRDefault="00A105F6">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477C64" w:rsidRDefault="00A105F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77C64" w:rsidRDefault="00A105F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E85A92">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77C64" w:rsidRDefault="00477C64">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E85A92" w:rsidRDefault="00E85A92">
      <w:pPr>
        <w:autoSpaceDE w:val="0"/>
        <w:autoSpaceDN w:val="0"/>
        <w:adjustRightInd w:val="0"/>
        <w:spacing w:line="600" w:lineRule="exact"/>
        <w:ind w:firstLine="601"/>
        <w:jc w:val="left"/>
        <w:rPr>
          <w:rFonts w:ascii="Times New Roman" w:eastAsia="仿宋_GB2312" w:hAnsi="Times New Roman" w:cs="仿宋_GB2312"/>
          <w:sz w:val="30"/>
          <w:szCs w:val="30"/>
        </w:rPr>
      </w:pPr>
    </w:p>
    <w:p w:rsidR="00477C64" w:rsidRDefault="00A105F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77C64" w:rsidRDefault="00477C64">
      <w:pPr>
        <w:autoSpaceDE w:val="0"/>
        <w:autoSpaceDN w:val="0"/>
        <w:adjustRightInd w:val="0"/>
        <w:spacing w:line="580" w:lineRule="exact"/>
        <w:ind w:firstLine="600"/>
        <w:jc w:val="left"/>
        <w:rPr>
          <w:rFonts w:ascii="Times New Roman" w:eastAsia="黑体" w:hAnsi="Times New Roman" w:cs="黑体"/>
          <w:sz w:val="30"/>
          <w:szCs w:val="30"/>
          <w:lang w:val="zh-CN"/>
        </w:rPr>
      </w:pP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77C64"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中新天津生态城文化旅游局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139,278,232.14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95,911,386.65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221.16%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：促进文化旅游行业高质量发展，推动多项活动开展及企业项目落户。</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中新天津生态城文化旅游局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139,278,232.14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95,911,386.65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：促进文化旅游行业高质量发展，推动多项活动开展及企业项目落户。</w:t>
      </w:r>
    </w:p>
    <w:p w:rsidR="00477C64" w:rsidRDefault="00A105F6">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139,278,232.14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77C64" w:rsidRDefault="00A105F6">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中新天津生态城文化旅游局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139,278,232.14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95,917,206.65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促进文化旅游行业高质量发展，推动多项活动开展及企业项目落户。</w:t>
      </w:r>
    </w:p>
    <w:p w:rsidR="00477C64" w:rsidRDefault="00A105F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6,230,059.82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4.47%</w:t>
      </w:r>
      <w:r>
        <w:rPr>
          <w:rFonts w:ascii="Times New Roman" w:eastAsia="仿宋_GB2312" w:hAnsi="Times New Roman" w:cs="仿宋_GB2312" w:hint="eastAsia"/>
          <w:sz w:val="30"/>
          <w:szCs w:val="30"/>
        </w:rPr>
        <w:t>；</w:t>
      </w:r>
    </w:p>
    <w:p w:rsidR="00477C64" w:rsidRDefault="00A105F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133,048,172.32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95.53%</w:t>
      </w:r>
      <w:r>
        <w:rPr>
          <w:rFonts w:ascii="Times New Roman" w:eastAsia="仿宋_GB2312" w:hAnsi="Times New Roman" w:cs="仿宋_GB2312" w:hint="eastAsia"/>
          <w:sz w:val="30"/>
          <w:szCs w:val="30"/>
        </w:rPr>
        <w:t>；</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477C64" w:rsidRDefault="00A105F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中新天津生态城文化旅游局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139,278,232.14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95,911,386.65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221.16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促进文化旅游行业高质量发展，推动多项活动开展及企业项目落户。</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77C64" w:rsidRDefault="00A105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77C64" w:rsidRDefault="00A105F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139,278,232.14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95,917,206.65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221.21%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：促进文化旅游行业高质量发展，推动多项活动开展及企业项目落户。</w:t>
      </w:r>
    </w:p>
    <w:p w:rsidR="00477C64" w:rsidRDefault="00A105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77C64" w:rsidRDefault="00A105F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139,278,232.14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科学技术支出（类）支出</w:t>
      </w:r>
      <w:r>
        <w:rPr>
          <w:rFonts w:ascii="Times New Roman" w:eastAsia="仿宋_GB2312" w:hAnsi="Times New Roman" w:cs="仿宋_GB2312" w:hint="eastAsia"/>
          <w:sz w:val="30"/>
          <w:szCs w:val="30"/>
        </w:rPr>
        <w:t>6,215,000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4.47%</w:t>
      </w:r>
      <w:r>
        <w:rPr>
          <w:rFonts w:ascii="Times New Roman" w:eastAsia="仿宋_GB2312" w:hAnsi="Times New Roman" w:cs="仿宋_GB2312" w:hint="eastAsia"/>
          <w:sz w:val="30"/>
          <w:szCs w:val="30"/>
        </w:rPr>
        <w:t>；文化旅游体育与传媒支出（类）支出</w:t>
      </w:r>
      <w:r>
        <w:rPr>
          <w:rFonts w:ascii="Times New Roman" w:eastAsia="仿宋_GB2312" w:hAnsi="Times New Roman" w:cs="仿宋_GB2312" w:hint="eastAsia"/>
          <w:sz w:val="30"/>
          <w:szCs w:val="30"/>
        </w:rPr>
        <w:t>20,376,516.68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14.63%</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575,814.96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0.41%</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10,238,022.42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7.35%</w:t>
      </w:r>
      <w:r>
        <w:rPr>
          <w:rFonts w:ascii="Times New Roman" w:eastAsia="仿宋_GB2312" w:hAnsi="Times New Roman" w:cs="仿宋_GB2312" w:hint="eastAsia"/>
          <w:sz w:val="30"/>
          <w:szCs w:val="30"/>
        </w:rPr>
        <w:t>；商业服务业等支出（类）支出</w:t>
      </w:r>
      <w:r>
        <w:rPr>
          <w:rFonts w:ascii="Times New Roman" w:eastAsia="仿宋_GB2312" w:hAnsi="Times New Roman" w:cs="仿宋_GB2312" w:hint="eastAsia"/>
          <w:sz w:val="30"/>
          <w:szCs w:val="30"/>
        </w:rPr>
        <w:t>101,872,878.08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73.14%</w:t>
      </w:r>
      <w:r>
        <w:rPr>
          <w:rFonts w:ascii="Times New Roman" w:eastAsia="仿宋_GB2312" w:hAnsi="Times New Roman" w:cs="仿宋_GB2312" w:hint="eastAsia"/>
          <w:sz w:val="30"/>
          <w:szCs w:val="30"/>
        </w:rPr>
        <w:t>；</w:t>
      </w:r>
    </w:p>
    <w:p w:rsidR="00477C64" w:rsidRDefault="00A105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lastRenderedPageBreak/>
        <w:t>102,551,208.00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139,278,232.14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135.81%</w:t>
      </w:r>
      <w:r>
        <w:rPr>
          <w:rFonts w:ascii="Times New Roman" w:eastAsia="仿宋_GB2312" w:hAnsi="Times New Roman" w:cs="仿宋_GB2312" w:hint="eastAsia"/>
          <w:kern w:val="0"/>
          <w:sz w:val="30"/>
          <w:szCs w:val="30"/>
        </w:rPr>
        <w:t>。其中：</w:t>
      </w:r>
    </w:p>
    <w:p w:rsidR="00477C64" w:rsidRDefault="00A105F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科学技术支出（类）技术研究与开发（款）科技成果转化与扩散（项）年初预算为</w:t>
      </w:r>
      <w:r>
        <w:rPr>
          <w:rFonts w:ascii="Times New Roman" w:eastAsia="仿宋_GB2312" w:hAnsi="Times New Roman" w:cs="仿宋_GB2312" w:hint="eastAsia"/>
          <w:sz w:val="30"/>
          <w:szCs w:val="30"/>
        </w:rPr>
        <w:t>140,000,0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6,215,000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443.93%</w:t>
      </w:r>
      <w:r>
        <w:rPr>
          <w:rFonts w:ascii="Times New Roman" w:eastAsia="仿宋_GB2312" w:hAnsi="Times New Roman" w:cs="仿宋_GB2312" w:hint="eastAsia"/>
          <w:sz w:val="30"/>
          <w:szCs w:val="30"/>
        </w:rPr>
        <w:t>，决算数大于年初预算数的主要原因是因企业申请，增加临时预算，用于支付华为云服务费及滨海基地运营服务费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文化旅游体育与传媒支出（类）文化和旅游（款）行政运行（项）年初预算为</w:t>
      </w:r>
      <w:r>
        <w:rPr>
          <w:rFonts w:ascii="Times New Roman" w:eastAsia="仿宋_GB2312" w:hAnsi="Times New Roman" w:cs="仿宋_GB2312" w:hint="eastAsia"/>
          <w:sz w:val="30"/>
          <w:szCs w:val="30"/>
        </w:rPr>
        <w:t>7,954,508</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5,416,222.44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68.08%</w:t>
      </w:r>
      <w:r>
        <w:rPr>
          <w:rFonts w:ascii="Times New Roman" w:eastAsia="仿宋_GB2312" w:hAnsi="Times New Roman" w:cs="仿宋_GB2312" w:hint="eastAsia"/>
          <w:sz w:val="30"/>
          <w:szCs w:val="30"/>
        </w:rPr>
        <w:t>，决算数小于年初预算数的主要原因是人员变动，人员减少。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文化旅游体育与传媒支出（类）文化和旅游（款）一般行政管理事务（项）年初预算为</w:t>
      </w:r>
      <w:r>
        <w:rPr>
          <w:rFonts w:ascii="Times New Roman" w:eastAsia="仿宋_GB2312" w:hAnsi="Times New Roman" w:cs="仿宋_GB2312" w:hint="eastAsia"/>
          <w:sz w:val="30"/>
          <w:szCs w:val="30"/>
        </w:rPr>
        <w:t>25,000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10,006.4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40.02%</w:t>
      </w:r>
      <w:r>
        <w:rPr>
          <w:rFonts w:ascii="Times New Roman" w:eastAsia="仿宋_GB2312" w:hAnsi="Times New Roman" w:cs="仿宋_GB2312" w:hint="eastAsia"/>
          <w:sz w:val="30"/>
          <w:szCs w:val="30"/>
        </w:rPr>
        <w:t>，决算数小于年初预算数的主要原因是供货商未完成合同约定</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文化旅游体育与传媒支出（类）文化和旅游（款）文化展示及纪念机构（项）年初预算为</w:t>
      </w:r>
      <w:r>
        <w:rPr>
          <w:rFonts w:ascii="Times New Roman" w:eastAsia="仿宋_GB2312" w:hAnsi="Times New Roman" w:cs="仿宋_GB2312" w:hint="eastAsia"/>
          <w:sz w:val="30"/>
          <w:szCs w:val="30"/>
        </w:rPr>
        <w:t>450,000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412,500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91.67%</w:t>
      </w:r>
      <w:r>
        <w:rPr>
          <w:rFonts w:ascii="Times New Roman" w:eastAsia="仿宋_GB2312" w:hAnsi="Times New Roman" w:cs="仿宋_GB2312" w:hint="eastAsia"/>
          <w:sz w:val="30"/>
          <w:szCs w:val="30"/>
        </w:rPr>
        <w:t>，决算数小于年初预算数的主要原因是该项目本期合同与上期合同存在</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个月空档时间，故未全额付款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文化旅游体育与传媒支出（类）文化和旅游（款）文化和旅游市场管理（项）年初预算为</w:t>
      </w:r>
      <w:r>
        <w:rPr>
          <w:rFonts w:ascii="Times New Roman" w:eastAsia="仿宋_GB2312" w:hAnsi="Times New Roman" w:cs="仿宋_GB2312" w:hint="eastAsia"/>
          <w:sz w:val="30"/>
          <w:szCs w:val="30"/>
        </w:rPr>
        <w:t>197,000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97,000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49.24%</w:t>
      </w:r>
      <w:r>
        <w:rPr>
          <w:rFonts w:ascii="Times New Roman" w:eastAsia="仿宋_GB2312" w:hAnsi="Times New Roman" w:cs="仿宋_GB2312" w:hint="eastAsia"/>
          <w:sz w:val="30"/>
          <w:szCs w:val="30"/>
        </w:rPr>
        <w:t>，决算数小于年初预算数的主要原因是未按照原计划开展应急预案修编和应急演练工作</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6. </w:t>
      </w:r>
      <w:r>
        <w:rPr>
          <w:rFonts w:ascii="Times New Roman" w:eastAsia="仿宋_GB2312" w:hAnsi="Times New Roman" w:cs="仿宋_GB2312" w:hint="eastAsia"/>
          <w:sz w:val="30"/>
          <w:szCs w:val="30"/>
        </w:rPr>
        <w:t>文化旅游体育与传媒支出（类）文化和旅游（款）其他文化旅游体育与传媒支出（项）年初预算为</w:t>
      </w:r>
      <w:r>
        <w:rPr>
          <w:rFonts w:ascii="Times New Roman" w:eastAsia="仿宋_GB2312" w:hAnsi="Times New Roman" w:cs="仿宋_GB2312" w:hint="eastAsia"/>
          <w:sz w:val="30"/>
          <w:szCs w:val="30"/>
        </w:rPr>
        <w:t>21,043,100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14,401,187.84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68.44%</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采购事项进度有所调整，适时调整项目预算金额至产业扶持资金，以更好推动区域经济发展</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7.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518,400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383,876.64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74.05%</w:t>
      </w:r>
      <w:r>
        <w:rPr>
          <w:rFonts w:ascii="Times New Roman" w:eastAsia="仿宋_GB2312" w:hAnsi="Times New Roman" w:cs="仿宋_GB2312" w:hint="eastAsia"/>
          <w:sz w:val="30"/>
          <w:szCs w:val="30"/>
        </w:rPr>
        <w:t>，决算数小于年初预算数的主要原因是人员变动，人员减少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8. </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259,200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191,938.32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74.05%</w:t>
      </w:r>
      <w:r>
        <w:rPr>
          <w:rFonts w:ascii="Times New Roman" w:eastAsia="仿宋_GB2312" w:hAnsi="Times New Roman" w:cs="仿宋_GB2312" w:hint="eastAsia"/>
          <w:sz w:val="30"/>
          <w:szCs w:val="30"/>
        </w:rPr>
        <w:t>，决算数小于年初预算数的主要原因是人员变动，人员减少。</w:t>
      </w:r>
      <w:r>
        <w:rPr>
          <w:rFonts w:ascii="Times New Roman" w:eastAsia="仿宋_GB2312" w:hAnsi="Times New Roman" w:cs="仿宋_GB2312" w:hint="eastAsia"/>
          <w:sz w:val="30"/>
          <w:szCs w:val="30"/>
        </w:rPr>
        <w:br/>
        <w:t xml:space="preserve">9. </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324,000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238,022.42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73.46%</w:t>
      </w:r>
      <w:r>
        <w:rPr>
          <w:rFonts w:ascii="Times New Roman" w:eastAsia="仿宋_GB2312" w:hAnsi="Times New Roman" w:cs="仿宋_GB2312" w:hint="eastAsia"/>
          <w:sz w:val="30"/>
          <w:szCs w:val="30"/>
        </w:rPr>
        <w:t>，决算数小于年初预算数的主要原因是人员变动，人员减少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10. </w:t>
      </w:r>
      <w:r>
        <w:rPr>
          <w:rFonts w:ascii="Times New Roman" w:eastAsia="仿宋_GB2312" w:hAnsi="Times New Roman" w:cs="仿宋_GB2312" w:hint="eastAsia"/>
          <w:sz w:val="30"/>
          <w:szCs w:val="30"/>
        </w:rPr>
        <w:t>卫生健康支出（类）公共卫生（款）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突发公共卫生事件应急处理（项）年初预算为</w:t>
      </w:r>
      <w:r>
        <w:rPr>
          <w:rFonts w:ascii="Times New Roman" w:eastAsia="仿宋_GB2312" w:hAnsi="Times New Roman" w:cs="仿宋_GB2312" w:hint="eastAsia"/>
          <w:sz w:val="30"/>
          <w:szCs w:val="30"/>
        </w:rPr>
        <w:t>0</w:t>
      </w:r>
      <w:r w:rsidR="00E85A92">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10,000,000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0</w:t>
      </w:r>
      <w:r w:rsidR="00E85A92">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，决算数大于年初预算数的主要原因是根据区委常委、区委办公室主持召开研究解决财政归集拨付隔离点未结清账款会议精神，增加该项目支出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11. </w:t>
      </w:r>
      <w:r>
        <w:rPr>
          <w:rFonts w:ascii="Times New Roman" w:eastAsia="仿宋_GB2312" w:hAnsi="Times New Roman" w:cs="仿宋_GB2312" w:hint="eastAsia"/>
          <w:sz w:val="30"/>
          <w:szCs w:val="30"/>
        </w:rPr>
        <w:t>商业服务业等支出（类）其他商业服务业等支出（款）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其他商业服务业等支出（项）年初预算为</w:t>
      </w:r>
      <w:r>
        <w:rPr>
          <w:rFonts w:ascii="Times New Roman" w:eastAsia="仿宋_GB2312" w:hAnsi="Times New Roman" w:cs="仿宋_GB2312" w:hint="eastAsia"/>
          <w:sz w:val="30"/>
          <w:szCs w:val="30"/>
        </w:rPr>
        <w:t>70,380,000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101,872,878.08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144.75%</w:t>
      </w:r>
      <w:r>
        <w:rPr>
          <w:rFonts w:ascii="Times New Roman" w:eastAsia="仿宋_GB2312" w:hAnsi="Times New Roman" w:cs="仿宋_GB2312" w:hint="eastAsia"/>
          <w:sz w:val="30"/>
          <w:szCs w:val="30"/>
        </w:rPr>
        <w:t>，决算数大于年初预算数的主要原因是促进文化旅游行业高质量发展，推动多项活动开展及企业项目落户。</w:t>
      </w:r>
      <w:r>
        <w:rPr>
          <w:rFonts w:ascii="Times New Roman" w:eastAsia="仿宋_GB2312" w:hAnsi="Times New Roman" w:cs="仿宋_GB2312" w:hint="eastAsia"/>
          <w:sz w:val="30"/>
          <w:szCs w:val="30"/>
        </w:rPr>
        <w:br/>
        <w:t>12.</w:t>
      </w:r>
      <w:r>
        <w:rPr>
          <w:rFonts w:ascii="Times New Roman" w:eastAsia="仿宋_GB2312" w:hAnsi="Times New Roman" w:cs="仿宋_GB2312" w:hint="eastAsia"/>
          <w:sz w:val="30"/>
          <w:szCs w:val="30"/>
        </w:rPr>
        <w:t>文化旅游体育与传媒支出（类）文化和旅游（款）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旅游宣传（项）年初预算为</w:t>
      </w:r>
      <w:r>
        <w:rPr>
          <w:rFonts w:ascii="Times New Roman" w:eastAsia="仿宋_GB2312" w:hAnsi="Times New Roman" w:cs="仿宋_GB2312" w:hint="eastAsia"/>
          <w:sz w:val="30"/>
          <w:szCs w:val="30"/>
        </w:rPr>
        <w:t>0</w:t>
      </w:r>
      <w:r w:rsidR="00E85A92">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39,600.00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0</w:t>
      </w:r>
      <w:r w:rsidR="00E85A92">
        <w:rPr>
          <w:rFonts w:ascii="Times New Roman" w:eastAsia="仿宋_GB2312" w:hAnsi="Times New Roman" w:cs="仿宋_GB2312"/>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w:t>
      </w:r>
      <w:r w:rsidRPr="00A105F6">
        <w:rPr>
          <w:rFonts w:ascii="Times New Roman" w:eastAsia="仿宋_GB2312" w:hAnsi="Times New Roman" w:cs="仿宋_GB2312" w:hint="eastAsia"/>
          <w:sz w:val="30"/>
          <w:szCs w:val="30"/>
        </w:rPr>
        <w:t>根据实际工作需要，推动区域经济发展，加强旅游推介宣传，中期项目调整增加该项目支出。</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77C64" w:rsidRDefault="00A105F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中新天津生态城文化旅游局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6,230,059.82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61,515.67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人员变动，人员减少。</w:t>
      </w:r>
      <w:r>
        <w:rPr>
          <w:rFonts w:ascii="Times New Roman" w:eastAsia="仿宋_GB2312" w:hAnsi="Times New Roman" w:cs="仿宋_GB2312" w:hint="eastAsia"/>
          <w:kern w:val="0"/>
          <w:sz w:val="30"/>
          <w:szCs w:val="30"/>
        </w:rPr>
        <w:t>其中：</w:t>
      </w:r>
    </w:p>
    <w:p w:rsidR="00477C64" w:rsidRDefault="00A105F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5,947,581.36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津贴补贴、机关事业单位基本养老保险缴费、职业年金缴费、职工基本医疗保险缴费、其他社会保障缴费、住房公积金。</w:t>
      </w:r>
    </w:p>
    <w:p w:rsidR="00477C64" w:rsidRDefault="00A105F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282,478.46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办公费、印刷费、邮电费、差旅费、公务接待费、其他交通费用</w:t>
      </w:r>
      <w:r w:rsidR="00E85A92">
        <w:rPr>
          <w:rFonts w:ascii="Times New Roman" w:eastAsia="仿宋_GB2312" w:hAnsi="Times New Roman" w:cs="仿宋_GB2312" w:hint="eastAsia"/>
          <w:sz w:val="30"/>
          <w:szCs w:val="30"/>
        </w:rPr>
        <w:t>、其他商品和服务支出</w:t>
      </w:r>
      <w:r>
        <w:rPr>
          <w:rFonts w:ascii="Times New Roman" w:eastAsia="仿宋_GB2312" w:hAnsi="Times New Roman" w:cs="仿宋_GB2312" w:hint="eastAsia"/>
          <w:sz w:val="30"/>
          <w:szCs w:val="30"/>
        </w:rPr>
        <w:t>。</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77C64" w:rsidRDefault="00A105F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77C64" w:rsidRPr="00E85A92" w:rsidRDefault="00A105F6" w:rsidP="00E85A9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477C64"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77C64" w:rsidRDefault="00A105F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77C64" w:rsidRDefault="00A105F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2,360.00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119.19</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由公用</w:t>
      </w:r>
      <w:r w:rsidR="00E85A92">
        <w:rPr>
          <w:rFonts w:ascii="Times New Roman" w:eastAsia="仿宋_GB2312" w:hAnsi="Times New Roman" w:cs="仿宋_GB2312" w:hint="eastAsia"/>
          <w:sz w:val="30"/>
          <w:szCs w:val="30"/>
        </w:rPr>
        <w:t>经费中委托业务费调剂至公务接待费科目，主要用于公务接待费用支出</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为开展业务工作，夯实合作基础，促进项目落户，公务接待费较上年有所增加。</w:t>
      </w:r>
    </w:p>
    <w:p w:rsidR="00477C64" w:rsidRDefault="00A105F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85A92">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本年度和上年度均未未用财政拨款经费列支因公出国（境）费。</w:t>
      </w:r>
    </w:p>
    <w:p w:rsidR="00477C64" w:rsidRDefault="00A105F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77C64" w:rsidRDefault="00A105F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85A92">
        <w:rPr>
          <w:rFonts w:ascii="Times New Roman" w:eastAsia="仿宋_GB2312" w:hAnsi="Times New Roman" w:cs="仿宋_GB2312" w:hint="eastAsia"/>
          <w:sz w:val="30"/>
          <w:szCs w:val="30"/>
        </w:rPr>
        <w:t>本年度未用财政拨款经费列支公务用车购置费和公务用车运行维</w:t>
      </w:r>
      <w:r w:rsidR="00E85A92">
        <w:rPr>
          <w:rFonts w:ascii="Times New Roman" w:eastAsia="仿宋_GB2312" w:hAnsi="Times New Roman" w:cs="仿宋_GB2312" w:hint="eastAsia"/>
          <w:sz w:val="30"/>
          <w:szCs w:val="30"/>
        </w:rPr>
        <w:lastRenderedPageBreak/>
        <w:t>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本年度和上年度均未用财政拨款经费列支公务用车购置费和公务用车运行维护费。</w:t>
      </w:r>
      <w:r>
        <w:rPr>
          <w:rFonts w:ascii="Times New Roman" w:eastAsia="仿宋_GB2312" w:hAnsi="Times New Roman" w:cs="仿宋_GB2312" w:hint="eastAsia"/>
          <w:kern w:val="0"/>
          <w:sz w:val="30"/>
          <w:szCs w:val="30"/>
        </w:rPr>
        <w:t>其中：</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85A92">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本年度和上年度均未用财政拨款经费列支公务用车运行维护费。</w:t>
      </w:r>
    </w:p>
    <w:p w:rsidR="00477C64" w:rsidRDefault="00A105F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85A92">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本年度和上年度均未用财政拨款经费列支公务用车购置费。</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77C64" w:rsidRDefault="00A105F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4,340.00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2,360.00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119.19</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由公用</w:t>
      </w:r>
      <w:r w:rsidR="00E85A92">
        <w:rPr>
          <w:rFonts w:ascii="Times New Roman" w:eastAsia="仿宋_GB2312" w:hAnsi="Times New Roman" w:cs="仿宋_GB2312" w:hint="eastAsia"/>
          <w:sz w:val="30"/>
          <w:szCs w:val="30"/>
        </w:rPr>
        <w:t>经费中委托业务费调剂至公务接待费科目，主要用于公务接待费用支出</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为开展业务工作，夯实合作基础，促进项目落户，公务接待费较上年有所增加。</w:t>
      </w:r>
    </w:p>
    <w:p w:rsidR="00477C64" w:rsidRDefault="00A105F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26</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87</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lastRenderedPageBreak/>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77C64" w:rsidRDefault="00A105F6">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中新天津生态城文化旅游局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282,478.46</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46,548.38</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19.73</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促进文化旅游行业高质量发展，推动多项活动开展及企业项目落户，公用经费项目支出有所增加。</w:t>
      </w:r>
    </w:p>
    <w:p w:rsidR="00477C64" w:rsidRDefault="00477C64">
      <w:pPr>
        <w:autoSpaceDE w:val="0"/>
        <w:autoSpaceDN w:val="0"/>
        <w:adjustRightInd w:val="0"/>
        <w:spacing w:line="600" w:lineRule="exact"/>
        <w:ind w:firstLine="600"/>
        <w:jc w:val="left"/>
        <w:rPr>
          <w:rFonts w:ascii="Times New Roman" w:eastAsia="仿宋_GB2312" w:hAnsi="Times New Roman" w:cs="仿宋_GB2312"/>
          <w:sz w:val="30"/>
          <w:szCs w:val="30"/>
        </w:rPr>
      </w:pP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中新天津生态城文化旅游局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9,274,384.72</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9,274,384.72</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9,274,384.72</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9,274,384.72</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477C64" w:rsidRDefault="00477C64">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77C64"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w:t>
      </w:r>
      <w:r>
        <w:rPr>
          <w:rFonts w:ascii="Times New Roman" w:eastAsia="仿宋_GB2312" w:hAnsi="Times New Roman" w:cs="仿宋_GB2312" w:hint="eastAsia"/>
          <w:sz w:val="30"/>
          <w:szCs w:val="30"/>
        </w:rPr>
        <w:lastRenderedPageBreak/>
        <w:t>况。</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71732" w:rsidRDefault="00A105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根据预算绩效管理要求，中新天津生态城文化旅游局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 xml:space="preserve"> </w:t>
      </w:r>
      <w:r w:rsidR="00171732">
        <w:rPr>
          <w:rFonts w:ascii="Times New Roman" w:eastAsia="仿宋_GB2312" w:hAnsi="Times New Roman" w:cs="仿宋_GB2312"/>
          <w:sz w:val="30"/>
          <w:szCs w:val="30"/>
        </w:rPr>
        <w:t>137,</w:t>
      </w:r>
      <w:r w:rsidR="00F57685">
        <w:rPr>
          <w:rFonts w:ascii="Times New Roman" w:eastAsia="仿宋_GB2312" w:hAnsi="Times New Roman" w:cs="仿宋_GB2312"/>
          <w:sz w:val="30"/>
          <w:szCs w:val="30"/>
        </w:rPr>
        <w:t>895</w:t>
      </w:r>
      <w:r w:rsidR="00171732">
        <w:rPr>
          <w:rFonts w:ascii="Times New Roman" w:eastAsia="仿宋_GB2312" w:hAnsi="Times New Roman" w:cs="仿宋_GB2312" w:hint="eastAsia"/>
          <w:sz w:val="30"/>
          <w:szCs w:val="30"/>
        </w:rPr>
        <w:t>,</w:t>
      </w:r>
      <w:r w:rsidR="00F57685">
        <w:rPr>
          <w:rFonts w:ascii="Times New Roman" w:eastAsia="仿宋_GB2312" w:hAnsi="Times New Roman" w:cs="仿宋_GB2312"/>
          <w:sz w:val="30"/>
          <w:szCs w:val="30"/>
        </w:rPr>
        <w:t>1</w:t>
      </w:r>
      <w:r w:rsidR="00171732">
        <w:rPr>
          <w:rFonts w:ascii="Times New Roman" w:eastAsia="仿宋_GB2312" w:hAnsi="Times New Roman" w:cs="仿宋_GB2312"/>
          <w:sz w:val="30"/>
          <w:szCs w:val="30"/>
        </w:rPr>
        <w:t>00.00</w:t>
      </w:r>
      <w:r>
        <w:rPr>
          <w:rFonts w:ascii="Times New Roman" w:eastAsia="仿宋_GB2312" w:hAnsi="Times New Roman" w:cs="仿宋_GB2312" w:hint="eastAsia"/>
          <w:sz w:val="30"/>
          <w:szCs w:val="30"/>
        </w:rPr>
        <w:t>元，自评结果已随部门决算一并公开</w:t>
      </w:r>
      <w:r w:rsidR="00171732">
        <w:rPr>
          <w:rFonts w:ascii="Times New Roman" w:eastAsia="仿宋_GB2312" w:hAnsi="Times New Roman" w:cs="仿宋_GB2312" w:hint="eastAsia"/>
          <w:sz w:val="30"/>
          <w:szCs w:val="30"/>
        </w:rPr>
        <w:t>。</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477C64" w:rsidRDefault="00A105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77C64" w:rsidRDefault="00477C6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中新天津生态城文化旅游局不属于乡、镇、街级单位，不涉及公开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477C64" w:rsidRDefault="00A105F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77C64" w:rsidRDefault="00A105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77C64" w:rsidRDefault="00477C6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77C64" w:rsidRDefault="00A105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77C64" w:rsidRDefault="00A105F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477C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71732"/>
    <w:rsid w:val="001A0E4F"/>
    <w:rsid w:val="001B5C3C"/>
    <w:rsid w:val="001C0399"/>
    <w:rsid w:val="001D587E"/>
    <w:rsid w:val="002124F6"/>
    <w:rsid w:val="00264B59"/>
    <w:rsid w:val="002A4997"/>
    <w:rsid w:val="002E6086"/>
    <w:rsid w:val="00302490"/>
    <w:rsid w:val="003227B2"/>
    <w:rsid w:val="003536BE"/>
    <w:rsid w:val="003B25FB"/>
    <w:rsid w:val="00477C64"/>
    <w:rsid w:val="004A482F"/>
    <w:rsid w:val="004F39BF"/>
    <w:rsid w:val="005062D7"/>
    <w:rsid w:val="005175E6"/>
    <w:rsid w:val="00525157"/>
    <w:rsid w:val="005349A2"/>
    <w:rsid w:val="00575537"/>
    <w:rsid w:val="005D1367"/>
    <w:rsid w:val="005D3F56"/>
    <w:rsid w:val="00654D17"/>
    <w:rsid w:val="006623EC"/>
    <w:rsid w:val="006A094D"/>
    <w:rsid w:val="006C6288"/>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105F6"/>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85A92"/>
    <w:rsid w:val="00E964B2"/>
    <w:rsid w:val="00EA6549"/>
    <w:rsid w:val="00F007FE"/>
    <w:rsid w:val="00F5768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65</cp:revision>
  <dcterms:created xsi:type="dcterms:W3CDTF">2023-08-11T08:11:00Z</dcterms:created>
  <dcterms:modified xsi:type="dcterms:W3CDTF">2024-09-20T03:37:00Z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