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D577A" w14:textId="77777777" w:rsidR="00360235" w:rsidRPr="00F45340" w:rsidRDefault="00360235" w:rsidP="00FD5DB0">
      <w:pPr>
        <w:spacing w:line="580" w:lineRule="exact"/>
        <w:contextualSpacing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</w:p>
    <w:p w14:paraId="4CA1CC72" w14:textId="77777777" w:rsidR="00DB09DE" w:rsidRPr="005F1208" w:rsidRDefault="00DB09DE" w:rsidP="00FD5DB0">
      <w:pPr>
        <w:spacing w:line="580" w:lineRule="exact"/>
        <w:contextualSpacing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 w:rsidRPr="005F1208">
        <w:rPr>
          <w:rFonts w:ascii="Times New Roman" w:eastAsia="方正小标宋简体" w:hAnsi="Times New Roman" w:cs="Times New Roman" w:hint="eastAsia"/>
          <w:color w:val="000000" w:themeColor="text1"/>
          <w:sz w:val="44"/>
        </w:rPr>
        <w:t>关于中新生态城</w:t>
      </w:r>
      <w:r w:rsidRPr="005F1208">
        <w:rPr>
          <w:rFonts w:ascii="Times New Roman" w:eastAsia="方正小标宋简体" w:hAnsi="Times New Roman" w:cs="Times New Roman" w:hint="eastAsia"/>
          <w:color w:val="000000" w:themeColor="text1"/>
          <w:sz w:val="44"/>
        </w:rPr>
        <w:t>2</w:t>
      </w:r>
      <w:r w:rsidRPr="005F1208">
        <w:rPr>
          <w:rFonts w:ascii="Times New Roman" w:eastAsia="方正小标宋简体" w:hAnsi="Times New Roman" w:cs="Times New Roman"/>
          <w:color w:val="000000" w:themeColor="text1"/>
          <w:sz w:val="44"/>
        </w:rPr>
        <w:t>02</w:t>
      </w:r>
      <w:r w:rsidR="00EB01E0" w:rsidRPr="005F1208">
        <w:rPr>
          <w:rFonts w:ascii="Times New Roman" w:eastAsia="方正小标宋简体" w:hAnsi="Times New Roman" w:cs="Times New Roman"/>
          <w:color w:val="000000" w:themeColor="text1"/>
          <w:sz w:val="44"/>
        </w:rPr>
        <w:t>2</w:t>
      </w:r>
      <w:r w:rsidRPr="005F1208">
        <w:rPr>
          <w:rFonts w:ascii="Times New Roman" w:eastAsia="方正小标宋简体" w:hAnsi="Times New Roman" w:cs="Times New Roman"/>
          <w:color w:val="000000" w:themeColor="text1"/>
          <w:sz w:val="44"/>
        </w:rPr>
        <w:t>年决算草案及</w:t>
      </w:r>
    </w:p>
    <w:p w14:paraId="762D052E" w14:textId="77777777" w:rsidR="00FD5DB0" w:rsidRPr="005F1208" w:rsidRDefault="00DB09DE" w:rsidP="00FD5DB0">
      <w:pPr>
        <w:spacing w:line="580" w:lineRule="exact"/>
        <w:contextualSpacing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 w:rsidRPr="005F1208">
        <w:rPr>
          <w:rFonts w:ascii="Times New Roman" w:eastAsia="方正小标宋简体" w:hAnsi="Times New Roman" w:cs="Times New Roman" w:hint="eastAsia"/>
          <w:color w:val="000000" w:themeColor="text1"/>
          <w:sz w:val="44"/>
        </w:rPr>
        <w:t>2</w:t>
      </w:r>
      <w:r w:rsidRPr="005F1208">
        <w:rPr>
          <w:rFonts w:ascii="Times New Roman" w:eastAsia="方正小标宋简体" w:hAnsi="Times New Roman" w:cs="Times New Roman"/>
          <w:color w:val="000000" w:themeColor="text1"/>
          <w:sz w:val="44"/>
        </w:rPr>
        <w:t>02</w:t>
      </w:r>
      <w:r w:rsidR="00EB01E0" w:rsidRPr="005F1208">
        <w:rPr>
          <w:rFonts w:ascii="Times New Roman" w:eastAsia="方正小标宋简体" w:hAnsi="Times New Roman" w:cs="Times New Roman"/>
          <w:color w:val="000000" w:themeColor="text1"/>
          <w:sz w:val="44"/>
        </w:rPr>
        <w:t>3</w:t>
      </w:r>
      <w:r w:rsidRPr="005F1208">
        <w:rPr>
          <w:rFonts w:ascii="Times New Roman" w:eastAsia="方正小标宋简体" w:hAnsi="Times New Roman" w:cs="Times New Roman"/>
          <w:color w:val="000000" w:themeColor="text1"/>
          <w:sz w:val="44"/>
        </w:rPr>
        <w:t>年以来预算执行情况的报告</w:t>
      </w:r>
    </w:p>
    <w:p w14:paraId="382CB8C3" w14:textId="77777777" w:rsidR="00FD5DB0" w:rsidRPr="005F1208" w:rsidRDefault="00FD5DB0" w:rsidP="00FD5DB0">
      <w:pPr>
        <w:spacing w:line="580" w:lineRule="exact"/>
        <w:contextualSpacing/>
        <w:rPr>
          <w:rFonts w:ascii="Times New Roman" w:eastAsia="仿宋_GB2312" w:hAnsi="Times New Roman" w:cs="Times New Roman"/>
          <w:color w:val="000000" w:themeColor="text1"/>
          <w:sz w:val="32"/>
        </w:rPr>
      </w:pPr>
    </w:p>
    <w:p w14:paraId="26B8DED8" w14:textId="044AA9CC" w:rsidR="00BC44AF" w:rsidRPr="005F1208" w:rsidRDefault="00BC44AF" w:rsidP="00C704FC">
      <w:pPr>
        <w:spacing w:line="360" w:lineRule="auto"/>
        <w:ind w:firstLineChars="200" w:firstLine="640"/>
        <w:contextualSpacing/>
        <w:rPr>
          <w:rFonts w:ascii="Times New Roman" w:eastAsia="仿宋_GB2312" w:hAnsi="Times New Roman" w:cs="Times New Roman"/>
          <w:color w:val="000000" w:themeColor="text1"/>
          <w:sz w:val="32"/>
        </w:rPr>
      </w:pP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</w:rPr>
        <w:t>2</w:t>
      </w:r>
      <w:r w:rsidRPr="005F1208">
        <w:rPr>
          <w:rFonts w:ascii="Times New Roman" w:eastAsia="仿宋_GB2312" w:hAnsi="Times New Roman" w:cs="Times New Roman"/>
          <w:color w:val="000000" w:themeColor="text1"/>
          <w:sz w:val="32"/>
        </w:rPr>
        <w:t>022</w:t>
      </w:r>
      <w:r w:rsidR="00EB01E0" w:rsidRPr="005F1208">
        <w:rPr>
          <w:rFonts w:ascii="Times New Roman" w:eastAsia="仿宋_GB2312" w:hAnsi="Times New Roman" w:cs="Times New Roman" w:hint="eastAsia"/>
          <w:color w:val="000000" w:themeColor="text1"/>
          <w:sz w:val="32"/>
        </w:rPr>
        <w:t>年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</w:rPr>
        <w:t>，面对错综复杂的宏观形势和</w:t>
      </w:r>
      <w:r w:rsidR="005749A5" w:rsidRPr="005F1208">
        <w:rPr>
          <w:rFonts w:ascii="Times New Roman" w:eastAsia="仿宋_GB2312" w:hAnsi="Times New Roman" w:cs="Times New Roman" w:hint="eastAsia"/>
          <w:color w:val="000000" w:themeColor="text1"/>
          <w:sz w:val="32"/>
        </w:rPr>
        <w:t>新冠疫情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</w:rPr>
        <w:t>风险挑战，生态城始终坚持以习近平新时代中国特色社会主义思想为指导，全面贯彻党的十九大</w:t>
      </w:r>
      <w:r w:rsidR="00DA1A68" w:rsidRPr="005F1208">
        <w:rPr>
          <w:rFonts w:ascii="Times New Roman" w:eastAsia="仿宋_GB2312" w:hAnsi="Times New Roman" w:cs="Times New Roman" w:hint="eastAsia"/>
          <w:color w:val="000000" w:themeColor="text1"/>
          <w:sz w:val="32"/>
        </w:rPr>
        <w:t>、十九届历次全会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</w:rPr>
        <w:t>和二十大精神，坚决落实市委市政府、区</w:t>
      </w:r>
      <w:bookmarkStart w:id="0" w:name="_GoBack"/>
      <w:bookmarkEnd w:id="0"/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</w:rPr>
        <w:t>委区政府部署要求，高效统筹疫情防控和经济社会发展，在高质量发展道路上迈出了更加坚实的步伐。</w:t>
      </w:r>
      <w:r w:rsidR="00AE6876" w:rsidRPr="005F1208">
        <w:rPr>
          <w:rFonts w:ascii="Times New Roman" w:eastAsia="仿宋_GB2312" w:hAnsi="Times New Roman" w:cs="Times New Roman" w:hint="eastAsia"/>
          <w:color w:val="000000" w:themeColor="text1"/>
          <w:sz w:val="32"/>
        </w:rPr>
        <w:t>生态城财政工作坚持稳中求进的总基调，</w:t>
      </w:r>
      <w:r w:rsidR="00275CC6" w:rsidRPr="005F1208">
        <w:rPr>
          <w:rFonts w:ascii="Times New Roman" w:eastAsia="仿宋_GB2312" w:hAnsi="Times New Roman" w:cs="Times New Roman" w:hint="eastAsia"/>
          <w:color w:val="000000" w:themeColor="text1"/>
          <w:sz w:val="32"/>
        </w:rPr>
        <w:t>结合区域实际，扎实做好“六稳”工作、全面落实“六保”任务，财政管理精细化水平</w:t>
      </w:r>
      <w:r w:rsidR="00C53740" w:rsidRPr="005F1208">
        <w:rPr>
          <w:rFonts w:ascii="Times New Roman" w:eastAsia="仿宋_GB2312" w:hAnsi="Times New Roman" w:cs="Times New Roman" w:hint="eastAsia"/>
          <w:color w:val="000000" w:themeColor="text1"/>
          <w:sz w:val="32"/>
        </w:rPr>
        <w:t>不断提高</w:t>
      </w:r>
      <w:r w:rsidR="00275CC6" w:rsidRPr="005F1208">
        <w:rPr>
          <w:rFonts w:ascii="Times New Roman" w:eastAsia="仿宋_GB2312" w:hAnsi="Times New Roman" w:cs="Times New Roman" w:hint="eastAsia"/>
          <w:color w:val="000000" w:themeColor="text1"/>
          <w:sz w:val="32"/>
        </w:rPr>
        <w:t>，</w:t>
      </w:r>
      <w:r w:rsidR="003C2FFB" w:rsidRPr="005F1208">
        <w:rPr>
          <w:rFonts w:ascii="Times New Roman" w:eastAsia="仿宋_GB2312" w:hAnsi="Times New Roman" w:cs="Times New Roman" w:hint="eastAsia"/>
          <w:color w:val="000000" w:themeColor="text1"/>
          <w:sz w:val="32"/>
        </w:rPr>
        <w:t>各项助企纾困政策落地落实，</w:t>
      </w:r>
      <w:r w:rsidR="00DA1A68" w:rsidRPr="005F1208">
        <w:rPr>
          <w:rFonts w:ascii="Times New Roman" w:eastAsia="仿宋_GB2312" w:hAnsi="Times New Roman" w:cs="Times New Roman" w:hint="eastAsia"/>
          <w:color w:val="000000" w:themeColor="text1"/>
          <w:sz w:val="32"/>
        </w:rPr>
        <w:t>社会民生等</w:t>
      </w:r>
      <w:r w:rsidR="003C2FFB" w:rsidRPr="005F1208">
        <w:rPr>
          <w:rFonts w:ascii="Times New Roman" w:eastAsia="仿宋_GB2312" w:hAnsi="Times New Roman" w:cs="Times New Roman" w:hint="eastAsia"/>
          <w:color w:val="000000" w:themeColor="text1"/>
          <w:sz w:val="32"/>
        </w:rPr>
        <w:t>重点支出</w:t>
      </w:r>
      <w:r w:rsidR="00DA1A68" w:rsidRPr="005F1208">
        <w:rPr>
          <w:rFonts w:ascii="Times New Roman" w:eastAsia="仿宋_GB2312" w:hAnsi="Times New Roman" w:cs="Times New Roman" w:hint="eastAsia"/>
          <w:color w:val="000000" w:themeColor="text1"/>
          <w:sz w:val="32"/>
        </w:rPr>
        <w:t>得到有力</w:t>
      </w:r>
      <w:r w:rsidR="003C2FFB" w:rsidRPr="005F1208">
        <w:rPr>
          <w:rFonts w:ascii="Times New Roman" w:eastAsia="仿宋_GB2312" w:hAnsi="Times New Roman" w:cs="Times New Roman" w:hint="eastAsia"/>
          <w:color w:val="000000" w:themeColor="text1"/>
          <w:sz w:val="32"/>
        </w:rPr>
        <w:t>保障，财政运行总体平稳。</w:t>
      </w:r>
    </w:p>
    <w:p w14:paraId="1D49BB52" w14:textId="77777777" w:rsidR="00FD5DB0" w:rsidRPr="005F1208" w:rsidRDefault="00FD5DB0" w:rsidP="00C704FC">
      <w:pPr>
        <w:spacing w:line="360" w:lineRule="auto"/>
        <w:ind w:firstLineChars="200" w:firstLine="640"/>
        <w:contextualSpacing/>
        <w:rPr>
          <w:rFonts w:ascii="Times New Roman" w:eastAsia="黑体" w:hAnsi="Times New Roman"/>
          <w:snapToGrid w:val="0"/>
          <w:color w:val="000000" w:themeColor="text1"/>
          <w:sz w:val="32"/>
          <w:szCs w:val="36"/>
        </w:rPr>
      </w:pPr>
      <w:r w:rsidRPr="005F1208">
        <w:rPr>
          <w:rFonts w:ascii="Times New Roman" w:eastAsia="黑体" w:hAnsi="Times New Roman"/>
          <w:snapToGrid w:val="0"/>
          <w:color w:val="000000" w:themeColor="text1"/>
          <w:sz w:val="32"/>
          <w:szCs w:val="36"/>
        </w:rPr>
        <w:t>一、</w:t>
      </w:r>
      <w:r w:rsidRPr="005F1208">
        <w:rPr>
          <w:rFonts w:ascii="Times New Roman" w:eastAsia="黑体" w:hAnsi="Times New Roman" w:hint="eastAsia"/>
          <w:snapToGrid w:val="0"/>
          <w:color w:val="000000" w:themeColor="text1"/>
          <w:sz w:val="32"/>
          <w:szCs w:val="36"/>
        </w:rPr>
        <w:t>2</w:t>
      </w:r>
      <w:r w:rsidRPr="005F1208">
        <w:rPr>
          <w:rFonts w:ascii="Times New Roman" w:eastAsia="黑体" w:hAnsi="Times New Roman"/>
          <w:snapToGrid w:val="0"/>
          <w:color w:val="000000" w:themeColor="text1"/>
          <w:sz w:val="32"/>
          <w:szCs w:val="36"/>
        </w:rPr>
        <w:t>02</w:t>
      </w:r>
      <w:r w:rsidR="00C53740" w:rsidRPr="005F1208">
        <w:rPr>
          <w:rFonts w:ascii="Times New Roman" w:eastAsia="黑体" w:hAnsi="Times New Roman"/>
          <w:snapToGrid w:val="0"/>
          <w:color w:val="000000" w:themeColor="text1"/>
          <w:sz w:val="32"/>
          <w:szCs w:val="36"/>
        </w:rPr>
        <w:t>2</w:t>
      </w:r>
      <w:r w:rsidRPr="005F1208">
        <w:rPr>
          <w:rFonts w:ascii="Times New Roman" w:eastAsia="黑体" w:hAnsi="Times New Roman"/>
          <w:snapToGrid w:val="0"/>
          <w:color w:val="000000" w:themeColor="text1"/>
          <w:sz w:val="32"/>
          <w:szCs w:val="36"/>
        </w:rPr>
        <w:t>年财政</w:t>
      </w:r>
      <w:r w:rsidR="00554141" w:rsidRPr="005F1208">
        <w:rPr>
          <w:rFonts w:ascii="Times New Roman" w:eastAsia="黑体" w:hAnsi="Times New Roman" w:hint="eastAsia"/>
          <w:snapToGrid w:val="0"/>
          <w:color w:val="000000" w:themeColor="text1"/>
          <w:sz w:val="32"/>
          <w:szCs w:val="36"/>
        </w:rPr>
        <w:t>决算</w:t>
      </w:r>
      <w:r w:rsidRPr="005F1208">
        <w:rPr>
          <w:rFonts w:ascii="Times New Roman" w:eastAsia="黑体" w:hAnsi="Times New Roman"/>
          <w:snapToGrid w:val="0"/>
          <w:color w:val="000000" w:themeColor="text1"/>
          <w:sz w:val="32"/>
          <w:szCs w:val="36"/>
        </w:rPr>
        <w:t>情况</w:t>
      </w:r>
    </w:p>
    <w:p w14:paraId="30A3EAC4" w14:textId="77777777" w:rsidR="00932CA8" w:rsidRPr="005F1208" w:rsidRDefault="00932CA8" w:rsidP="00716E09">
      <w:pPr>
        <w:spacing w:line="360" w:lineRule="auto"/>
        <w:ind w:firstLineChars="200" w:firstLine="674"/>
        <w:rPr>
          <w:rFonts w:ascii="楷体_GB2312" w:eastAsia="楷体_GB2312" w:hAnsi="Times New Roman" w:cs="Times New Roman"/>
          <w:b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（一）</w:t>
      </w:r>
      <w:r w:rsidR="00B225FB"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财政收支情况</w:t>
      </w:r>
    </w:p>
    <w:p w14:paraId="1B7240F7" w14:textId="77777777" w:rsidR="00B225FB" w:rsidRPr="005F1208" w:rsidRDefault="00B225FB" w:rsidP="00C704FC">
      <w:pPr>
        <w:spacing w:line="360" w:lineRule="auto"/>
        <w:ind w:firstLineChars="200" w:firstLine="674"/>
        <w:rPr>
          <w:rFonts w:ascii="Times New Roman" w:eastAsia="仿宋_GB2312" w:hAnsi="Times New Roman" w:cs="Times New Roman"/>
          <w:b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Times New Roman" w:eastAsia="仿宋_GB2312" w:hAnsi="Times New Roman" w:cs="Times New Roman"/>
          <w:b/>
          <w:snapToGrid w:val="0"/>
          <w:color w:val="000000" w:themeColor="text1"/>
          <w:spacing w:val="8"/>
          <w:kern w:val="0"/>
          <w:sz w:val="32"/>
          <w:szCs w:val="32"/>
        </w:rPr>
        <w:t>1.</w:t>
      </w:r>
      <w:r w:rsidRPr="005F1208">
        <w:rPr>
          <w:rFonts w:ascii="Times New Roman" w:eastAsia="仿宋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一般公共预算</w:t>
      </w:r>
    </w:p>
    <w:p w14:paraId="0932FC74" w14:textId="14C12733" w:rsidR="00216758" w:rsidRPr="005F1208" w:rsidRDefault="001638FF" w:rsidP="00C704FC">
      <w:pPr>
        <w:spacing w:line="360" w:lineRule="auto"/>
        <w:ind w:firstLineChars="200" w:firstLine="672"/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一般公共</w:t>
      </w:r>
      <w:r w:rsidR="00350535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预算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收支</w:t>
      </w:r>
      <w:r w:rsidR="00F93CE1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。</w:t>
      </w:r>
      <w:r w:rsidR="00932CA8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一般公共预算收入</w:t>
      </w:r>
      <w:r w:rsidR="00540E7F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32.8</w:t>
      </w:r>
      <w:r w:rsidR="00932CA8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亿元，</w:t>
      </w:r>
      <w:r w:rsidR="006E20B9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剔除留抵退税因素后，按可比口径计算，</w:t>
      </w:r>
      <w:r w:rsidR="00932CA8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同比</w:t>
      </w:r>
      <w:r w:rsidR="00AF7D04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下降</w:t>
      </w:r>
      <w:r w:rsidR="000B14E6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16</w:t>
      </w:r>
      <w:r w:rsidR="00932CA8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%</w:t>
      </w:r>
      <w:r w:rsidR="00932CA8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，完成预算</w:t>
      </w:r>
      <w:r w:rsidR="000B14E6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78</w:t>
      </w:r>
      <w:r w:rsidR="00932CA8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%</w:t>
      </w:r>
      <w:r w:rsidR="00932CA8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，其中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：</w:t>
      </w:r>
      <w:r w:rsidR="00932CA8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税收收入</w:t>
      </w:r>
      <w:r w:rsidR="000A6363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28.7</w:t>
      </w:r>
      <w:r w:rsidR="00932CA8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亿元，</w:t>
      </w:r>
      <w:r w:rsidR="00DD3B89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同比</w:t>
      </w:r>
      <w:r w:rsidR="0049766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下降</w:t>
      </w:r>
      <w:r w:rsidR="000B14E6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18.1</w:t>
      </w:r>
      <w:r w:rsidR="00932CA8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%</w:t>
      </w:r>
      <w:r w:rsidR="00932CA8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，占比</w:t>
      </w:r>
      <w:r w:rsidR="000A6363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87.5</w:t>
      </w:r>
      <w:r w:rsidR="00932CA8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%</w:t>
      </w:r>
      <w:r w:rsidR="00F93CE1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</w:t>
      </w:r>
      <w:r w:rsidR="00932CA8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非税收入</w:t>
      </w:r>
      <w:r w:rsidR="000A6363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4.1</w:t>
      </w:r>
      <w:r w:rsidR="00932CA8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亿元，</w:t>
      </w:r>
      <w:r w:rsidR="0049766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较上年</w:t>
      </w:r>
      <w:r w:rsidR="000A6363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涨</w:t>
      </w:r>
      <w:r w:rsidR="000A6363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5</w:t>
      </w:r>
      <w:r w:rsidR="000A6363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.3</w:t>
      </w:r>
      <w:r w:rsidR="000A6363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%</w:t>
      </w:r>
      <w:r w:rsidR="00F93CE1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</w:t>
      </w:r>
      <w:r w:rsidR="00932CA8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占比</w:t>
      </w:r>
      <w:r w:rsidR="000A6363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12.5</w:t>
      </w:r>
      <w:r w:rsidR="00932CA8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%</w:t>
      </w:r>
      <w:r w:rsidR="00932CA8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。一般公共预算支出</w:t>
      </w:r>
      <w:r w:rsidR="000A6363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28</w:t>
      </w:r>
      <w:r w:rsidR="00932CA8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亿元，</w:t>
      </w:r>
      <w:r w:rsidR="00046144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同比</w:t>
      </w:r>
      <w:r w:rsidR="0049766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下降</w:t>
      </w:r>
      <w:r w:rsidR="000A6363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41.4</w:t>
      </w:r>
      <w:r w:rsidR="00046144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%</w:t>
      </w:r>
      <w:r w:rsidR="00046144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</w:t>
      </w:r>
      <w:r w:rsidR="00932CA8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完成预算</w:t>
      </w:r>
      <w:r w:rsidR="00D37E1B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59.8</w:t>
      </w:r>
      <w:r w:rsidR="00932CA8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%</w:t>
      </w:r>
      <w:r w:rsidR="00932CA8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。</w:t>
      </w:r>
    </w:p>
    <w:p w14:paraId="040BB4E0" w14:textId="77777777" w:rsidR="00932CA8" w:rsidRPr="005F1208" w:rsidRDefault="00932CA8" w:rsidP="00C704FC">
      <w:pPr>
        <w:spacing w:line="360" w:lineRule="auto"/>
        <w:ind w:firstLineChars="200" w:firstLine="672"/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lastRenderedPageBreak/>
        <w:t>转移</w:t>
      </w:r>
      <w:r w:rsidR="00895075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支付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情况。</w:t>
      </w:r>
      <w:r w:rsidR="00D17D61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市级及新区对生态城的补助收入</w:t>
      </w:r>
      <w:r w:rsidR="007C363E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10.2</w:t>
      </w:r>
      <w:r w:rsidR="00D17D61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亿元，</w:t>
      </w:r>
      <w:r w:rsidR="00895075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由生态城统筹使用，</w:t>
      </w:r>
      <w:r w:rsidR="00D17D61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专项转移支付</w:t>
      </w:r>
      <w:r w:rsidR="0049766C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1</w:t>
      </w:r>
      <w:r w:rsidR="00D17D61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亿元，按规定专款专用。</w:t>
      </w:r>
    </w:p>
    <w:p w14:paraId="5026BAD5" w14:textId="77777777" w:rsidR="00A44F5E" w:rsidRPr="005F1208" w:rsidRDefault="00A44F5E" w:rsidP="00C704FC">
      <w:pPr>
        <w:spacing w:line="360" w:lineRule="auto"/>
        <w:ind w:firstLineChars="200" w:firstLine="672"/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收支平衡情况。</w:t>
      </w:r>
      <w:r w:rsidR="000B631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生态城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一般公共</w:t>
      </w:r>
      <w:r w:rsidR="000B631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预算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收入</w:t>
      </w:r>
      <w:r w:rsidR="007C363E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32.8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亿元，加上上级</w:t>
      </w:r>
      <w:r w:rsidR="000B631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财政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转移支付</w:t>
      </w:r>
      <w:r w:rsidR="006A4AA0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等收入</w:t>
      </w:r>
      <w:r w:rsidR="00EC119C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-</w:t>
      </w:r>
      <w:r w:rsidR="007C363E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5.2</w:t>
      </w:r>
      <w:r w:rsidR="000B631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亿元，上年结余</w:t>
      </w:r>
      <w:r w:rsidR="007C363E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0.66</w:t>
      </w:r>
      <w:r w:rsidR="000B631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亿元，调入调出资金等</w:t>
      </w:r>
      <w:r w:rsidR="007C363E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0.06</w:t>
      </w:r>
      <w:r w:rsidR="000B631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亿元，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一般公共</w:t>
      </w:r>
      <w:r w:rsidR="000B631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预算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总收入</w:t>
      </w:r>
      <w:r w:rsidR="007C363E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28.3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亿元。一般公共</w:t>
      </w:r>
      <w:r w:rsidR="000B631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预算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支出</w:t>
      </w:r>
      <w:r w:rsidR="008D7B0A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28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亿元，</w:t>
      </w:r>
      <w:r w:rsidR="000B631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全年收支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相抵，一般公共</w:t>
      </w:r>
      <w:r w:rsidR="000B631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预算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结余</w:t>
      </w:r>
      <w:r w:rsidR="00EC119C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0.</w:t>
      </w:r>
      <w:r w:rsidR="008D7B0A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3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</w:t>
      </w:r>
      <w:r w:rsidR="000B631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，全部为结转项目资金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。</w:t>
      </w:r>
    </w:p>
    <w:p w14:paraId="78DA65D3" w14:textId="77777777" w:rsidR="00C8406A" w:rsidRPr="005F1208" w:rsidRDefault="00B225FB" w:rsidP="00C704FC">
      <w:pPr>
        <w:spacing w:line="360" w:lineRule="auto"/>
        <w:ind w:firstLineChars="200" w:firstLine="674"/>
        <w:rPr>
          <w:rFonts w:ascii="Times New Roman" w:eastAsia="仿宋_GB2312" w:hAnsi="Times New Roman" w:cs="Times New Roman"/>
          <w:b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Times New Roman" w:eastAsia="仿宋_GB2312" w:hAnsi="Times New Roman" w:cs="Times New Roman"/>
          <w:b/>
          <w:snapToGrid w:val="0"/>
          <w:color w:val="000000" w:themeColor="text1"/>
          <w:spacing w:val="8"/>
          <w:kern w:val="0"/>
          <w:sz w:val="32"/>
          <w:szCs w:val="32"/>
        </w:rPr>
        <w:t>2.</w:t>
      </w:r>
      <w:r w:rsidR="00C8406A" w:rsidRPr="005F1208">
        <w:rPr>
          <w:rFonts w:ascii="Times New Roman" w:eastAsia="仿宋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政府性基金</w:t>
      </w:r>
      <w:r w:rsidR="00350535" w:rsidRPr="005F1208">
        <w:rPr>
          <w:rFonts w:ascii="Times New Roman" w:eastAsia="仿宋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预算</w:t>
      </w:r>
    </w:p>
    <w:p w14:paraId="6D8157CB" w14:textId="680087DF" w:rsidR="00691E7D" w:rsidRPr="005F1208" w:rsidRDefault="000B631C" w:rsidP="00C704FC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政府性基金预算收入</w:t>
      </w:r>
      <w:r w:rsidR="008D7B0A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7.5</w:t>
      </w:r>
      <w:r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亿元，完成预算</w:t>
      </w:r>
      <w:r w:rsidR="008D7B0A" w:rsidRPr="005F12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16.5</w:t>
      </w:r>
      <w:r w:rsidRPr="005F12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%</w:t>
      </w:r>
      <w:r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，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较上年</w:t>
      </w:r>
      <w:r w:rsidR="00825174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减少</w:t>
      </w:r>
      <w:r w:rsidR="008D7B0A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1</w:t>
      </w:r>
      <w:r w:rsidR="00C704FC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2.1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</w:t>
      </w:r>
      <w:r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。加上</w:t>
      </w:r>
      <w:r w:rsidR="00825174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上年结余</w:t>
      </w:r>
      <w:r w:rsidR="008D7B0A" w:rsidRPr="005F1208">
        <w:rPr>
          <w:rFonts w:ascii="Times New Roman" w:eastAsia="仿宋_GB2312" w:hAnsi="Times New Roman" w:cs="仿宋_GB2312"/>
          <w:color w:val="000000" w:themeColor="text1"/>
          <w:kern w:val="0"/>
          <w:sz w:val="32"/>
          <w:szCs w:val="32"/>
        </w:rPr>
        <w:t>9.7</w:t>
      </w:r>
      <w:r w:rsidR="00825174" w:rsidRPr="005F1208">
        <w:rPr>
          <w:rFonts w:ascii="Times New Roman" w:eastAsia="仿宋_GB2312" w:hAnsi="Times New Roman" w:cs="仿宋_GB2312"/>
          <w:color w:val="000000" w:themeColor="text1"/>
          <w:kern w:val="0"/>
          <w:sz w:val="32"/>
          <w:szCs w:val="32"/>
        </w:rPr>
        <w:t>亿元</w:t>
      </w:r>
      <w:r w:rsidR="00825174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，</w:t>
      </w:r>
      <w:r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专项债券</w:t>
      </w:r>
      <w:r w:rsidR="00FA46A3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收入</w:t>
      </w:r>
      <w:r w:rsidR="008D7B0A" w:rsidRPr="005F12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13.6</w:t>
      </w:r>
      <w:r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亿元，政府性基金预算总收入</w:t>
      </w:r>
      <w:r w:rsidR="008D7B0A" w:rsidRPr="005F12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30.8</w:t>
      </w:r>
      <w:r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亿元。政府性基金预算支出</w:t>
      </w:r>
      <w:r w:rsidR="008D7B0A" w:rsidRPr="005F12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23.1</w:t>
      </w:r>
      <w:r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亿元，完成预算</w:t>
      </w:r>
      <w:r w:rsidR="008D7B0A" w:rsidRPr="005F12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32.7</w:t>
      </w:r>
      <w:r w:rsidRPr="005F12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%</w:t>
      </w:r>
      <w:r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，</w:t>
      </w:r>
      <w:r w:rsidR="00CD574B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较上年</w:t>
      </w:r>
      <w:r w:rsidR="00825174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减少</w:t>
      </w:r>
      <w:r w:rsidR="008D7B0A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7.6</w:t>
      </w:r>
      <w:r w:rsidR="00CD574B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</w:t>
      </w:r>
      <w:r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。全年收支相抵，政府性基金预算结余</w:t>
      </w:r>
      <w:r w:rsidR="008D7B0A" w:rsidRPr="005F1208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7.7</w:t>
      </w:r>
      <w:r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亿元，全部为结转项目资金。</w:t>
      </w:r>
    </w:p>
    <w:p w14:paraId="1612089A" w14:textId="77777777" w:rsidR="003329B0" w:rsidRPr="005F1208" w:rsidRDefault="00B225FB" w:rsidP="00C704FC">
      <w:pPr>
        <w:spacing w:line="360" w:lineRule="auto"/>
        <w:ind w:firstLineChars="200" w:firstLine="674"/>
        <w:rPr>
          <w:rFonts w:ascii="Times New Roman" w:eastAsia="仿宋_GB2312" w:hAnsi="Times New Roman" w:cs="Times New Roman"/>
          <w:b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Times New Roman" w:eastAsia="仿宋_GB2312" w:hAnsi="Times New Roman" w:cs="Times New Roman"/>
          <w:b/>
          <w:snapToGrid w:val="0"/>
          <w:color w:val="000000" w:themeColor="text1"/>
          <w:spacing w:val="8"/>
          <w:kern w:val="0"/>
          <w:sz w:val="32"/>
          <w:szCs w:val="32"/>
        </w:rPr>
        <w:t>3.</w:t>
      </w:r>
      <w:r w:rsidR="003329B0" w:rsidRPr="005F1208">
        <w:rPr>
          <w:rFonts w:ascii="Times New Roman" w:eastAsia="仿宋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国有资本经营</w:t>
      </w:r>
      <w:r w:rsidR="005409CE" w:rsidRPr="005F1208">
        <w:rPr>
          <w:rFonts w:ascii="Times New Roman" w:eastAsia="仿宋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预算</w:t>
      </w:r>
    </w:p>
    <w:p w14:paraId="4CE0A72E" w14:textId="77777777" w:rsidR="003329B0" w:rsidRPr="005F1208" w:rsidRDefault="003329B0" w:rsidP="00C704FC">
      <w:pPr>
        <w:spacing w:line="360" w:lineRule="auto"/>
        <w:ind w:firstLineChars="200" w:firstLine="672"/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国有资本经营</w:t>
      </w:r>
      <w:r w:rsidR="00DC7D70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预算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收入</w:t>
      </w:r>
      <w:r w:rsidR="00B87672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0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亿元，</w:t>
      </w:r>
      <w:r w:rsidR="00B87672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上年结余</w:t>
      </w:r>
      <w:r w:rsidR="00B87672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0</w:t>
      </w:r>
      <w:r w:rsidR="00B87672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.06</w:t>
      </w:r>
      <w:r w:rsidR="00B87672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亿元</w:t>
      </w:r>
      <w:r w:rsidR="00BD1671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，调出资金</w:t>
      </w:r>
      <w:r w:rsidR="00BD1671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0.0</w:t>
      </w:r>
      <w:r w:rsidR="00B87672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6</w:t>
      </w:r>
      <w:r w:rsidR="00BD1671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亿元，</w:t>
      </w:r>
      <w:r w:rsidR="00DC7D70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国有资本经营预算总收入</w:t>
      </w:r>
      <w:r w:rsidR="00DC7D70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0</w:t>
      </w:r>
      <w:r w:rsidR="00DC7D70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亿元</w:t>
      </w:r>
      <w:r w:rsidR="00DC7D70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</w:t>
      </w:r>
      <w:r w:rsidR="00DC7D70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国有资本经营预算</w:t>
      </w:r>
      <w:r w:rsidR="00B87672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无</w:t>
      </w:r>
      <w:r w:rsidR="00DC7D70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结余</w:t>
      </w:r>
      <w:r w:rsidR="00BD1671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。</w:t>
      </w:r>
    </w:p>
    <w:p w14:paraId="617A6221" w14:textId="77777777" w:rsidR="00BD1671" w:rsidRPr="005F1208" w:rsidRDefault="00554141" w:rsidP="00C704FC">
      <w:pPr>
        <w:spacing w:line="360" w:lineRule="auto"/>
        <w:ind w:firstLine="705"/>
        <w:rPr>
          <w:rFonts w:ascii="楷体_GB2312" w:eastAsia="楷体_GB2312" w:hAnsi="Times New Roman" w:cs="Times New Roman"/>
          <w:b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（</w:t>
      </w:r>
      <w:r w:rsidR="00B225FB"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二</w:t>
      </w:r>
      <w:r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）政府债务情况</w:t>
      </w:r>
    </w:p>
    <w:p w14:paraId="2F1384B3" w14:textId="03D95114" w:rsidR="00B225FB" w:rsidRPr="005F1208" w:rsidRDefault="002D21C8" w:rsidP="00C704FC">
      <w:pPr>
        <w:autoSpaceDE w:val="0"/>
        <w:autoSpaceDN w:val="0"/>
        <w:adjustRightInd w:val="0"/>
        <w:spacing w:line="360" w:lineRule="auto"/>
        <w:ind w:firstLineChars="200" w:firstLine="672"/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202</w:t>
      </w:r>
      <w:r w:rsidR="00B87672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2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年</w:t>
      </w:r>
      <w:r w:rsidR="00B225FB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末</w:t>
      </w:r>
      <w:r w:rsidR="004E597E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生态城</w:t>
      </w:r>
      <w:r w:rsidR="00B225FB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政府债务余额</w:t>
      </w:r>
      <w:r w:rsidR="0012741A" w:rsidRPr="005F1208">
        <w:rPr>
          <w:rFonts w:ascii="Times New Roman" w:hAnsi="Times New Roman" w:cs="Times New Roman"/>
          <w:color w:val="000000" w:themeColor="text1"/>
          <w:kern w:val="0"/>
          <w:sz w:val="32"/>
          <w:szCs w:val="32"/>
        </w:rPr>
        <w:t>87.35</w:t>
      </w:r>
      <w:r w:rsidR="00B225FB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亿元，</w:t>
      </w:r>
      <w:r w:rsidR="00965F56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其中，一般债券</w:t>
      </w:r>
      <w:r w:rsidR="00965F56" w:rsidRPr="005F1208">
        <w:rPr>
          <w:rFonts w:ascii="Times New Roman" w:eastAsia="仿宋_GB2312" w:hAnsi="Times New Roman" w:cs="仿宋_GB2312"/>
          <w:color w:val="000000" w:themeColor="text1"/>
          <w:kern w:val="0"/>
          <w:sz w:val="32"/>
          <w:szCs w:val="32"/>
        </w:rPr>
        <w:t>16</w:t>
      </w:r>
      <w:r w:rsidR="00583FC6" w:rsidRPr="005F1208">
        <w:rPr>
          <w:rFonts w:ascii="Times New Roman" w:eastAsia="仿宋_GB2312" w:hAnsi="Times New Roman" w:cs="仿宋_GB2312"/>
          <w:color w:val="000000" w:themeColor="text1"/>
          <w:kern w:val="0"/>
          <w:sz w:val="32"/>
          <w:szCs w:val="32"/>
        </w:rPr>
        <w:t>.</w:t>
      </w:r>
      <w:r w:rsidR="0012741A" w:rsidRPr="005F1208">
        <w:rPr>
          <w:rFonts w:ascii="Times New Roman" w:eastAsia="仿宋_GB2312" w:hAnsi="Times New Roman" w:cs="仿宋_GB2312"/>
          <w:color w:val="000000" w:themeColor="text1"/>
          <w:kern w:val="0"/>
          <w:sz w:val="32"/>
          <w:szCs w:val="32"/>
        </w:rPr>
        <w:t>16</w:t>
      </w:r>
      <w:r w:rsidR="00965F56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亿元，专项债券</w:t>
      </w:r>
      <w:r w:rsidR="0012741A" w:rsidRPr="005F1208">
        <w:rPr>
          <w:rFonts w:ascii="Times New Roman" w:eastAsia="仿宋_GB2312" w:hAnsi="Times New Roman" w:cs="仿宋_GB2312"/>
          <w:color w:val="000000" w:themeColor="text1"/>
          <w:kern w:val="0"/>
          <w:sz w:val="32"/>
          <w:szCs w:val="32"/>
        </w:rPr>
        <w:t>71.19</w:t>
      </w:r>
      <w:r w:rsidR="00965F56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亿元。</w:t>
      </w:r>
      <w:r w:rsidR="004E597E" w:rsidRPr="005F1208">
        <w:rPr>
          <w:rFonts w:ascii="Times New Roman" w:eastAsia="仿宋_GB2312" w:hAnsi="Times New Roman" w:cs="仿宋_GB2312"/>
          <w:color w:val="000000" w:themeColor="text1"/>
          <w:kern w:val="0"/>
          <w:sz w:val="32"/>
          <w:szCs w:val="32"/>
        </w:rPr>
        <w:t>202</w:t>
      </w:r>
      <w:r w:rsidR="0012741A" w:rsidRPr="005F1208">
        <w:rPr>
          <w:rFonts w:ascii="Times New Roman" w:eastAsia="仿宋_GB2312" w:hAnsi="Times New Roman" w:cs="仿宋_GB2312"/>
          <w:color w:val="000000" w:themeColor="text1"/>
          <w:kern w:val="0"/>
          <w:sz w:val="32"/>
          <w:szCs w:val="32"/>
        </w:rPr>
        <w:t>2</w:t>
      </w:r>
      <w:r w:rsidR="004E597E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年当年</w:t>
      </w:r>
      <w:r w:rsidR="00B225FB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新增</w:t>
      </w:r>
      <w:r w:rsidR="004E597E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政府</w:t>
      </w:r>
      <w:r w:rsidR="00B225FB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lastRenderedPageBreak/>
        <w:t>债务</w:t>
      </w:r>
      <w:r w:rsidR="0012741A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13.</w:t>
      </w:r>
      <w:r w:rsidR="00DE1234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55</w:t>
      </w:r>
      <w:r w:rsidR="00B225FB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亿元，</w:t>
      </w:r>
      <w:r w:rsidR="0012741A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均为</w:t>
      </w:r>
      <w:r w:rsidR="00965F56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专项债券</w:t>
      </w:r>
      <w:r w:rsidR="00B225FB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。</w:t>
      </w:r>
    </w:p>
    <w:p w14:paraId="1AD69268" w14:textId="77777777" w:rsidR="0017636D" w:rsidRPr="005F1208" w:rsidRDefault="00B225FB" w:rsidP="00C704FC">
      <w:pPr>
        <w:spacing w:line="360" w:lineRule="auto"/>
        <w:ind w:firstLine="705"/>
        <w:rPr>
          <w:rFonts w:ascii="楷体_GB2312" w:eastAsia="楷体_GB2312" w:hAnsi="Times New Roman" w:cs="Times New Roman"/>
          <w:b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（三）“三公”经费情况</w:t>
      </w:r>
    </w:p>
    <w:p w14:paraId="34BB6F48" w14:textId="7E8A06F4" w:rsidR="00B225FB" w:rsidRPr="005F1208" w:rsidRDefault="00B225FB" w:rsidP="00C704FC">
      <w:pPr>
        <w:spacing w:line="360" w:lineRule="auto"/>
        <w:ind w:firstLine="705"/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生态城财政拨款“三公”经费支出</w:t>
      </w:r>
      <w:r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0.</w:t>
      </w:r>
      <w:r w:rsidR="002D21C8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0</w:t>
      </w:r>
      <w:r w:rsidR="00670B41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2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亿元，</w:t>
      </w:r>
      <w:r w:rsidR="00FF363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同比下降</w:t>
      </w:r>
      <w:r w:rsidR="00FF363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3</w:t>
      </w:r>
      <w:r w:rsidR="00FF363C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.7%</w:t>
      </w:r>
      <w:r w:rsidR="00FF363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。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其中，因公出国经费</w:t>
      </w:r>
      <w:r w:rsidR="002D21C8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0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亿元，公务用车购置及运行费</w:t>
      </w:r>
      <w:r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0.</w:t>
      </w:r>
      <w:r w:rsidR="002D21C8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01</w:t>
      </w:r>
      <w:r w:rsidR="00D51D7F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8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亿元（包括公务用车购置费</w:t>
      </w:r>
      <w:r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0.</w:t>
      </w:r>
      <w:r w:rsidR="00E7128A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00</w:t>
      </w:r>
      <w:r w:rsidR="00D51D7F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85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亿元，公务用车运行维护费</w:t>
      </w:r>
      <w:r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0.</w:t>
      </w:r>
      <w:r w:rsidR="00670B41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0</w:t>
      </w:r>
      <w:r w:rsidR="00D51D7F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096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亿元），公务接待费</w:t>
      </w:r>
      <w:r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0.0</w:t>
      </w:r>
      <w:r w:rsidR="00D51D7F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012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亿元。</w:t>
      </w:r>
    </w:p>
    <w:p w14:paraId="15A8EC49" w14:textId="77777777" w:rsidR="00AF0940" w:rsidRPr="005F1208" w:rsidRDefault="00AF0940" w:rsidP="00C704FC">
      <w:pPr>
        <w:spacing w:line="360" w:lineRule="auto"/>
        <w:ind w:firstLine="705"/>
        <w:rPr>
          <w:rFonts w:ascii="楷体_GB2312" w:eastAsia="楷体_GB2312" w:hAnsi="Times New Roman" w:cs="Times New Roman"/>
          <w:b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（四）</w:t>
      </w:r>
      <w:r w:rsidRPr="005F1208">
        <w:rPr>
          <w:rFonts w:ascii="楷体_GB2312" w:eastAsia="楷体_GB2312" w:hAnsi="Times New Roman" w:cs="Times New Roman" w:hint="eastAsia"/>
          <w:b/>
          <w:color w:val="000000" w:themeColor="text1"/>
          <w:sz w:val="32"/>
          <w:szCs w:val="32"/>
        </w:rPr>
        <w:t>财政收支变化情况</w:t>
      </w:r>
    </w:p>
    <w:p w14:paraId="0C7D58CE" w14:textId="41C4C89F" w:rsidR="00AF0940" w:rsidRPr="005F1208" w:rsidRDefault="00016798" w:rsidP="00C704FC">
      <w:pPr>
        <w:spacing w:line="360" w:lineRule="auto"/>
        <w:ind w:firstLine="70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 w:rsidR="00D51D7F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AF0940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年，生态城财政收支决算与区</w:t>
      </w:r>
      <w:r w:rsidR="00670B41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四</w:t>
      </w:r>
      <w:r w:rsidR="00AF0940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届人大</w:t>
      </w:r>
      <w:r w:rsidR="00D51D7F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三</w:t>
      </w:r>
      <w:r w:rsidR="00AF0940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次会议审议的预算执行情况相比，市级及新区财政对生态城转移支付等收入有所变化，主要是由于区</w:t>
      </w:r>
      <w:r w:rsidR="00BE2418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四届人大</w:t>
      </w:r>
      <w:r w:rsidR="00D51D7F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三</w:t>
      </w:r>
      <w:r w:rsidR="00BE2418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次会议</w:t>
      </w:r>
      <w:r w:rsidR="00AF0940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召开时，结算工作尚未结束，市及新区转移支付等</w:t>
      </w:r>
      <w:r w:rsidR="00187FF0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收入</w:t>
      </w:r>
      <w:r w:rsidR="00AF0940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均是按照预计数填列。</w:t>
      </w:r>
    </w:p>
    <w:p w14:paraId="3FC497B9" w14:textId="77777777" w:rsidR="00E7128A" w:rsidRPr="005F1208" w:rsidRDefault="00E7128A" w:rsidP="00C704FC">
      <w:pPr>
        <w:spacing w:line="360" w:lineRule="auto"/>
        <w:ind w:firstLineChars="20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5F1208">
        <w:rPr>
          <w:rFonts w:ascii="Times New Roman" w:eastAsia="黑体" w:hAnsi="Times New Roman" w:hint="eastAsia"/>
          <w:color w:val="000000" w:themeColor="text1"/>
          <w:sz w:val="32"/>
          <w:szCs w:val="32"/>
        </w:rPr>
        <w:t>二、</w:t>
      </w:r>
      <w:r w:rsidRPr="005F1208">
        <w:rPr>
          <w:rFonts w:ascii="Times New Roman" w:eastAsia="黑体" w:hAnsi="Times New Roman"/>
          <w:color w:val="000000" w:themeColor="text1"/>
          <w:sz w:val="32"/>
          <w:szCs w:val="32"/>
        </w:rPr>
        <w:t>202</w:t>
      </w:r>
      <w:r w:rsidR="00D51D7F" w:rsidRPr="005F1208">
        <w:rPr>
          <w:rFonts w:ascii="Times New Roman" w:eastAsia="黑体" w:hAnsi="Times New Roman"/>
          <w:color w:val="000000" w:themeColor="text1"/>
          <w:sz w:val="32"/>
          <w:szCs w:val="32"/>
        </w:rPr>
        <w:t>3</w:t>
      </w:r>
      <w:r w:rsidRPr="005F1208">
        <w:rPr>
          <w:rFonts w:ascii="Times New Roman" w:eastAsia="黑体" w:hAnsi="Times New Roman" w:hint="eastAsia"/>
          <w:color w:val="000000" w:themeColor="text1"/>
          <w:sz w:val="32"/>
          <w:szCs w:val="32"/>
        </w:rPr>
        <w:t>年以来预算执行情况</w:t>
      </w:r>
    </w:p>
    <w:p w14:paraId="73FD7995" w14:textId="77777777" w:rsidR="00AE3693" w:rsidRPr="005F1208" w:rsidRDefault="00AE3693" w:rsidP="00C704FC">
      <w:pPr>
        <w:spacing w:line="360" w:lineRule="auto"/>
        <w:ind w:firstLine="705"/>
        <w:rPr>
          <w:rFonts w:ascii="楷体_GB2312" w:eastAsia="楷体_GB2312" w:hAnsi="Times New Roman" w:cs="Times New Roman"/>
          <w:b/>
          <w:color w:val="000000" w:themeColor="text1"/>
          <w:sz w:val="32"/>
          <w:szCs w:val="32"/>
        </w:rPr>
      </w:pPr>
      <w:r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（一）一般公共预算</w:t>
      </w:r>
    </w:p>
    <w:p w14:paraId="5E2E401D" w14:textId="070C63A3" w:rsidR="00AE3693" w:rsidRPr="005F1208" w:rsidRDefault="00AE3693" w:rsidP="00C704FC">
      <w:pPr>
        <w:spacing w:line="360" w:lineRule="auto"/>
        <w:ind w:firstLine="70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至</w:t>
      </w:r>
      <w:r w:rsidR="000B14E6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月份，生态城一般公共预算收入</w:t>
      </w:r>
      <w:r w:rsidR="000B14E6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22.1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亿元，同比</w:t>
      </w:r>
      <w:r w:rsidR="003274FF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增长</w:t>
      </w:r>
      <w:r w:rsidR="000B14E6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29.5</w:t>
      </w:r>
      <w:r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，完成</w:t>
      </w:r>
      <w:r w:rsidR="004F0198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年度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预算</w:t>
      </w:r>
      <w:r w:rsidR="003274FF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34.8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亿元的</w:t>
      </w:r>
      <w:r w:rsidR="000B14E6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63.4</w:t>
      </w:r>
      <w:r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。其中，</w:t>
      </w:r>
      <w:r w:rsidR="000B14E6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税收收入</w:t>
      </w:r>
      <w:r w:rsidR="000B14E6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21.2</w:t>
      </w:r>
      <w:r w:rsidR="000B14E6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="000B14E6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29.7%</w:t>
      </w:r>
      <w:r w:rsidR="000B14E6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，占比</w:t>
      </w:r>
      <w:r w:rsidR="000B14E6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95.9%</w:t>
      </w:r>
      <w:r w:rsidR="000B14E6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；非税收入</w:t>
      </w:r>
      <w:r w:rsidR="000B14E6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0.9</w:t>
      </w:r>
      <w:r w:rsidR="000B14E6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="000B14E6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24.5%</w:t>
      </w:r>
      <w:r w:rsidR="000B14E6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，占比</w:t>
      </w:r>
      <w:r w:rsidR="000B14E6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4.1%</w:t>
      </w:r>
      <w:r w:rsidR="000B14E6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2F5E8376" w14:textId="77777777" w:rsidR="00AE3693" w:rsidRPr="005F1208" w:rsidRDefault="00013A47" w:rsidP="00C704FC">
      <w:pPr>
        <w:spacing w:line="360" w:lineRule="auto"/>
        <w:ind w:firstLine="70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从主要税种情况看：</w:t>
      </w:r>
    </w:p>
    <w:p w14:paraId="57E6010F" w14:textId="5F97DAC3" w:rsidR="00AE3693" w:rsidRPr="005F1208" w:rsidRDefault="00013A47" w:rsidP="00C704FC">
      <w:pPr>
        <w:spacing w:line="360" w:lineRule="auto"/>
        <w:ind w:firstLine="70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增值税完成</w:t>
      </w:r>
      <w:r w:rsidR="000B14E6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4.7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</w:t>
      </w:r>
      <w:r w:rsidR="002F28BF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增收</w:t>
      </w:r>
      <w:r w:rsidR="000B14E6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2.1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</w:t>
      </w:r>
      <w:r w:rsidR="002F28BF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增长</w:t>
      </w:r>
      <w:r w:rsidR="000B14E6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81.4</w:t>
      </w:r>
      <w:r w:rsidR="00C821E4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2F28BF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主要是</w:t>
      </w:r>
      <w:r w:rsidR="00435772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去年二季度实施大规模留抵退税政策，同期基数较低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企业所得税完成</w:t>
      </w:r>
      <w:r w:rsidR="0034308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5.5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</w:t>
      </w:r>
      <w:r w:rsidR="002F28BF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增收</w:t>
      </w:r>
      <w:r w:rsidR="002F28BF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</w:t>
      </w:r>
      <w:r w:rsidR="002F28BF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="0034308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 w:rsidR="002F28BF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亿元</w:t>
      </w:r>
      <w:r w:rsidR="006A2B9B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2F28BF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增长</w:t>
      </w:r>
      <w:r w:rsidR="0034308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12.2</w:t>
      </w:r>
      <w:r w:rsidR="006A2B9B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；个人所得税完成</w:t>
      </w:r>
      <w:r w:rsidR="002F28BF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="00C821E4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="0034308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65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</w:t>
      </w:r>
      <w:r w:rsidR="009D78D8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减收</w:t>
      </w:r>
      <w:r w:rsidR="002F28BF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</w:t>
      </w:r>
      <w:r w:rsidR="0034308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="009D78D8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亿元</w:t>
      </w:r>
      <w:r w:rsidR="009D78D8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，下降</w:t>
      </w:r>
      <w:r w:rsidR="0034308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11.6</w:t>
      </w:r>
      <w:r w:rsidR="009D78D8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="009D78D8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="002F28BF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城市维护建设税完成</w:t>
      </w:r>
      <w:r w:rsidR="002F28BF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 w:rsidR="002F28BF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="0034308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="002F28BF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亿元</w:t>
      </w:r>
      <w:r w:rsidR="002F28BF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2F28BF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增收</w:t>
      </w:r>
      <w:r w:rsidR="002F28BF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</w:t>
      </w:r>
      <w:r w:rsidR="002F28BF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="0034308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="002F28BF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亿元</w:t>
      </w:r>
      <w:r w:rsidR="002F28BF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2F28BF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增长</w:t>
      </w:r>
      <w:r w:rsidR="0034308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40.9</w:t>
      </w:r>
      <w:r w:rsidR="002F28BF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="002F28BF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土地增值税完成</w:t>
      </w:r>
      <w:r w:rsidR="00C821E4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="0034308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</w:t>
      </w:r>
      <w:r w:rsidR="00C821E4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收</w:t>
      </w:r>
      <w:r w:rsidR="002F28BF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0.7</w:t>
      </w:r>
      <w:r w:rsidR="00622CC4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</w:t>
      </w:r>
      <w:r w:rsidR="00C821E4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增长</w:t>
      </w:r>
      <w:r w:rsidR="0034308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47.4</w:t>
      </w:r>
      <w:r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；契税完成</w:t>
      </w:r>
      <w:r w:rsidR="00C821E4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="0034308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45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</w:t>
      </w:r>
      <w:r w:rsidR="002F28BF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收</w:t>
      </w:r>
      <w:r w:rsidR="0034308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0.8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</w:t>
      </w:r>
      <w:r w:rsidR="002F28BF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增长</w:t>
      </w:r>
      <w:r w:rsidR="0034308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50.7</w:t>
      </w:r>
      <w:r w:rsidR="0086089A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="006A7848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7D5C46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主要是随着房地产市场逐步回暖，一手房、二手房交易量大幅上升，带动房产销售契税缴纳入库</w:t>
      </w:r>
      <w:r w:rsidR="006A7848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="00870F8B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房产税等其他税种共完成</w:t>
      </w:r>
      <w:r w:rsidR="00870F8B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="0034308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="00870F8B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亿元，增收</w:t>
      </w:r>
      <w:r w:rsidR="00870F8B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</w:t>
      </w:r>
      <w:r w:rsidR="0034308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="00870F8B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亿元，增长</w:t>
      </w:r>
      <w:r w:rsidR="0034308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30.2</w:t>
      </w:r>
      <w:r w:rsidR="00870F8B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 w:rsidR="00870F8B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2DC38952" w14:textId="530078FD" w:rsidR="006A7848" w:rsidRPr="005F1208" w:rsidRDefault="00E7128A" w:rsidP="00C704FC">
      <w:pPr>
        <w:spacing w:line="360" w:lineRule="auto"/>
        <w:ind w:firstLine="70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至</w:t>
      </w:r>
      <w:r w:rsidR="0034308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月份，</w:t>
      </w:r>
      <w:r w:rsidR="00FA6387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生态城一般公共预算支出</w:t>
      </w:r>
      <w:r w:rsidR="0034308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17.9</w:t>
      </w:r>
      <w:r w:rsidR="00FA6387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亿元，同比</w:t>
      </w:r>
      <w:r w:rsidR="00595EC4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增长</w:t>
      </w:r>
      <w:r w:rsidR="0034308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21.7</w:t>
      </w:r>
      <w:r w:rsidR="00FA6387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 w:rsidR="00FA6387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，完成</w:t>
      </w:r>
      <w:r w:rsidR="00EF2F96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年度</w:t>
      </w:r>
      <w:r w:rsidR="005B50F1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预算</w:t>
      </w:r>
      <w:r w:rsidR="00595EC4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39.4</w:t>
      </w:r>
      <w:r w:rsidR="005B50F1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亿元的</w:t>
      </w:r>
      <w:r w:rsidR="008C25E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45.4</w:t>
      </w:r>
      <w:r w:rsidR="00FA6387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 w:rsidR="00FA6387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="006A7848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其中，一般公共服务支出</w:t>
      </w:r>
      <w:r w:rsidR="008C25E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1.3</w:t>
      </w:r>
      <w:r w:rsidR="006A7848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</w:t>
      </w:r>
      <w:r w:rsidR="00A62EC7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较去年</w:t>
      </w:r>
      <w:r w:rsidR="00595EC4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增加</w:t>
      </w:r>
      <w:r w:rsidR="003C144C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</w:t>
      </w:r>
      <w:r w:rsidR="00595EC4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342A1E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</w:t>
      </w:r>
      <w:r w:rsidR="006A7848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同比</w:t>
      </w:r>
      <w:r w:rsidR="00595EC4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增长</w:t>
      </w:r>
      <w:r w:rsidR="008C25E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11.8</w:t>
      </w:r>
      <w:r w:rsidR="006A7848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 w:rsidR="006A7848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="00342A1E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教育支出</w:t>
      </w:r>
      <w:r w:rsidR="0086089A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</w:t>
      </w:r>
      <w:r w:rsidR="008C25E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="00342A1E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</w:t>
      </w:r>
      <w:r w:rsidR="008C25ED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增加</w:t>
      </w:r>
      <w:r w:rsidR="008C25E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0.1</w:t>
      </w:r>
      <w:r w:rsidR="008C25ED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</w:t>
      </w:r>
      <w:r w:rsidR="008062B3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增长</w:t>
      </w:r>
      <w:r w:rsidR="008C25E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="008062B3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="00342A1E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="00AC54CE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社会保障和就业支出</w:t>
      </w:r>
      <w:r w:rsidR="008C25E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AC54CE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亿元</w:t>
      </w:r>
      <w:r w:rsidR="00AC54CE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8C25ED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增加</w:t>
      </w:r>
      <w:r w:rsidR="008C25E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0.2</w:t>
      </w:r>
      <w:r w:rsidR="008C25ED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</w:t>
      </w:r>
      <w:r w:rsidR="00FC19EE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增长</w:t>
      </w:r>
      <w:r w:rsidR="008C25E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33.3</w:t>
      </w:r>
      <w:r w:rsidR="00FC19EE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="00AC54CE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="00AC54CE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卫生健康支出</w:t>
      </w:r>
      <w:r w:rsidR="008C25E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AC54CE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亿元</w:t>
      </w:r>
      <w:r w:rsidR="00AC54CE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8C25ED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增加</w:t>
      </w:r>
      <w:r w:rsidR="008C25E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0.2</w:t>
      </w:r>
      <w:r w:rsidR="008C25ED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亿元，增长</w:t>
      </w:r>
      <w:r w:rsidR="008C25E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21.7</w:t>
      </w:r>
      <w:r w:rsidR="008C25ED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="008C25ED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="00342A1E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文化旅游体育与传媒支出</w:t>
      </w:r>
      <w:r w:rsidR="00595EC4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="008062B3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="00AC54CE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</w:t>
      </w:r>
      <w:r w:rsidR="00595EC4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增加</w:t>
      </w:r>
      <w:r w:rsidR="008062B3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0.9</w:t>
      </w:r>
      <w:r w:rsidR="00A62EC7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</w:t>
      </w:r>
      <w:r w:rsidR="00AC54CE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595EC4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增长</w:t>
      </w:r>
      <w:r w:rsidR="008062B3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="008C25E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595EC4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倍</w:t>
      </w:r>
      <w:r w:rsidR="00AC6DEA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，主要是</w:t>
      </w:r>
      <w:r w:rsidR="000A0A8E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今</w:t>
      </w:r>
      <w:r w:rsidR="00AC6DEA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年</w:t>
      </w:r>
      <w:r w:rsidR="00055D55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增加对</w:t>
      </w:r>
      <w:r w:rsidR="001128FE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动漫大厦专项补助支出</w:t>
      </w:r>
      <w:r w:rsidR="00A62EC7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="006A7848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商业服务业等支出</w:t>
      </w:r>
      <w:r w:rsidR="008C25E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 w:rsidR="006A7848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</w:t>
      </w:r>
      <w:r w:rsidR="00595EC4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增加</w:t>
      </w:r>
      <w:r w:rsidR="008C25E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4.2</w:t>
      </w:r>
      <w:r w:rsidR="00A62EC7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</w:t>
      </w:r>
      <w:r w:rsidR="00595EC4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增长</w:t>
      </w:r>
      <w:r w:rsidR="008062B3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="008C25E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.5</w:t>
      </w:r>
      <w:r w:rsidR="00595EC4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倍</w:t>
      </w:r>
      <w:r w:rsidR="00B62F04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B62F04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主要是</w:t>
      </w:r>
      <w:r w:rsidR="00913C3F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今年</w:t>
      </w:r>
      <w:r w:rsidR="00055D55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加大对相关重点产业</w:t>
      </w:r>
      <w:r w:rsidR="003E6191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发展</w:t>
      </w:r>
      <w:r w:rsidR="00055D55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扶持力度</w:t>
      </w:r>
      <w:r w:rsidR="006A7848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；城乡社区支出</w:t>
      </w:r>
      <w:r w:rsidR="008C25E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1.5</w:t>
      </w:r>
      <w:r w:rsidR="006A7848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</w:t>
      </w:r>
      <w:r w:rsidR="00595EC4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增加</w:t>
      </w:r>
      <w:r w:rsidR="00595EC4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</w:t>
      </w:r>
      <w:r w:rsidR="00595EC4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="008C25E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="00C33F7A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亿元</w:t>
      </w:r>
      <w:r w:rsidR="00C33F7A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595EC4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增长</w:t>
      </w:r>
      <w:r w:rsidR="008C25ED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23.4</w:t>
      </w:r>
      <w:r w:rsidR="00595EC4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="006A7848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4177E5B5" w14:textId="77777777" w:rsidR="006A7848" w:rsidRPr="005F1208" w:rsidRDefault="00A62EC7" w:rsidP="00C704FC">
      <w:pPr>
        <w:spacing w:line="360" w:lineRule="auto"/>
        <w:ind w:firstLine="705"/>
        <w:rPr>
          <w:rFonts w:ascii="楷体_GB2312" w:eastAsia="楷体_GB2312" w:hAnsi="Times New Roman" w:cs="Times New Roman"/>
          <w:b/>
          <w:color w:val="000000" w:themeColor="text1"/>
          <w:sz w:val="32"/>
          <w:szCs w:val="32"/>
        </w:rPr>
      </w:pPr>
      <w:r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（二）政府性基金预算</w:t>
      </w:r>
    </w:p>
    <w:p w14:paraId="2FB41F35" w14:textId="0F0EEBA2" w:rsidR="006A7848" w:rsidRPr="005F1208" w:rsidRDefault="00A62EC7" w:rsidP="00C704FC">
      <w:pPr>
        <w:spacing w:line="360" w:lineRule="auto"/>
        <w:ind w:firstLine="705"/>
        <w:rPr>
          <w:rFonts w:ascii="Times New Roman" w:eastAsia="仿宋_GB2312" w:hAnsi="Times New Roman"/>
          <w:color w:val="000000" w:themeColor="text1"/>
          <w:sz w:val="32"/>
          <w:szCs w:val="28"/>
        </w:rPr>
      </w:pPr>
      <w:r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至</w:t>
      </w:r>
      <w:r w:rsidR="007F02EF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月，</w:t>
      </w:r>
      <w:r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生态城政府性基金收入</w:t>
      </w:r>
      <w:r w:rsidR="007F02EF" w:rsidRPr="005F1208">
        <w:rPr>
          <w:rFonts w:ascii="Times New Roman" w:eastAsia="仿宋_GB2312" w:hAnsi="Times New Roman"/>
          <w:color w:val="000000" w:themeColor="text1"/>
          <w:sz w:val="32"/>
          <w:szCs w:val="28"/>
        </w:rPr>
        <w:t>6.6</w:t>
      </w:r>
      <w:r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亿元，</w:t>
      </w:r>
      <w:r w:rsidR="00636E20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较去年同期</w:t>
      </w:r>
      <w:r w:rsidR="003F41C1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增收</w:t>
      </w:r>
      <w:r w:rsidR="007F02EF" w:rsidRPr="005F1208">
        <w:rPr>
          <w:rFonts w:ascii="Times New Roman" w:eastAsia="仿宋_GB2312" w:hAnsi="Times New Roman"/>
          <w:color w:val="000000" w:themeColor="text1"/>
          <w:sz w:val="32"/>
          <w:szCs w:val="28"/>
        </w:rPr>
        <w:t>3.1</w:t>
      </w:r>
      <w:r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亿元，同比</w:t>
      </w:r>
      <w:r w:rsidR="003F41C1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增长</w:t>
      </w:r>
      <w:r w:rsidR="007F02EF" w:rsidRPr="005F1208">
        <w:rPr>
          <w:rFonts w:ascii="Times New Roman" w:eastAsia="仿宋_GB2312" w:hAnsi="Times New Roman"/>
          <w:color w:val="000000" w:themeColor="text1"/>
          <w:sz w:val="32"/>
          <w:szCs w:val="28"/>
        </w:rPr>
        <w:t>88.6</w:t>
      </w:r>
      <w:r w:rsidR="00957D88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%</w:t>
      </w:r>
      <w:r w:rsidR="00082C19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，完成</w:t>
      </w:r>
      <w:r w:rsidR="00EF2F96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年度</w:t>
      </w:r>
      <w:r w:rsidR="00082C19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预算</w:t>
      </w:r>
      <w:r w:rsidR="003F41C1" w:rsidRPr="005F1208">
        <w:rPr>
          <w:rFonts w:ascii="Times New Roman" w:eastAsia="仿宋_GB2312" w:hAnsi="Times New Roman"/>
          <w:color w:val="000000" w:themeColor="text1"/>
          <w:sz w:val="32"/>
          <w:szCs w:val="28"/>
        </w:rPr>
        <w:t>54.6</w:t>
      </w:r>
      <w:r w:rsidR="00082C19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亿元的</w:t>
      </w:r>
      <w:r w:rsidR="007F02EF" w:rsidRPr="005F1208">
        <w:rPr>
          <w:rFonts w:ascii="Times New Roman" w:eastAsia="仿宋_GB2312" w:hAnsi="Times New Roman"/>
          <w:color w:val="000000" w:themeColor="text1"/>
          <w:sz w:val="32"/>
          <w:szCs w:val="28"/>
        </w:rPr>
        <w:t>12</w:t>
      </w:r>
      <w:r w:rsidR="00082C19" w:rsidRPr="005F1208">
        <w:rPr>
          <w:rFonts w:ascii="Times New Roman" w:eastAsia="仿宋_GB2312" w:hAnsi="Times New Roman"/>
          <w:color w:val="000000" w:themeColor="text1"/>
          <w:sz w:val="32"/>
          <w:szCs w:val="28"/>
        </w:rPr>
        <w:t>%</w:t>
      </w:r>
      <w:r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。其中</w:t>
      </w:r>
      <w:r w:rsidR="0038054C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，</w:t>
      </w:r>
      <w:r w:rsidR="00737DAB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国有土地使用权出让收入</w:t>
      </w:r>
      <w:r w:rsidR="007F02EF" w:rsidRPr="005F1208">
        <w:rPr>
          <w:rFonts w:ascii="Times New Roman" w:eastAsia="仿宋_GB2312" w:hAnsi="Times New Roman"/>
          <w:color w:val="000000" w:themeColor="text1"/>
          <w:sz w:val="32"/>
          <w:szCs w:val="28"/>
        </w:rPr>
        <w:t>4.8</w:t>
      </w:r>
      <w:r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亿元，较去年</w:t>
      </w:r>
      <w:r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lastRenderedPageBreak/>
        <w:t>同期</w:t>
      </w:r>
      <w:r w:rsidR="003F41C1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增收</w:t>
      </w:r>
      <w:r w:rsidR="007F02EF" w:rsidRPr="005F1208">
        <w:rPr>
          <w:rFonts w:ascii="Times New Roman" w:eastAsia="仿宋_GB2312" w:hAnsi="Times New Roman"/>
          <w:color w:val="000000" w:themeColor="text1"/>
          <w:sz w:val="32"/>
          <w:szCs w:val="28"/>
        </w:rPr>
        <w:t>3.5</w:t>
      </w:r>
      <w:r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亿元</w:t>
      </w:r>
      <w:r w:rsidR="00473B41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，</w:t>
      </w:r>
      <w:r w:rsidR="003F41C1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增长</w:t>
      </w:r>
      <w:r w:rsidR="003F41C1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2</w:t>
      </w:r>
      <w:r w:rsidR="003F41C1" w:rsidRPr="005F1208">
        <w:rPr>
          <w:rFonts w:ascii="Times New Roman" w:eastAsia="仿宋_GB2312" w:hAnsi="Times New Roman"/>
          <w:color w:val="000000" w:themeColor="text1"/>
          <w:sz w:val="32"/>
          <w:szCs w:val="28"/>
        </w:rPr>
        <w:t>.</w:t>
      </w:r>
      <w:r w:rsidR="007F02EF" w:rsidRPr="005F1208">
        <w:rPr>
          <w:rFonts w:ascii="Times New Roman" w:eastAsia="仿宋_GB2312" w:hAnsi="Times New Roman"/>
          <w:color w:val="000000" w:themeColor="text1"/>
          <w:sz w:val="32"/>
          <w:szCs w:val="28"/>
        </w:rPr>
        <w:t>8</w:t>
      </w:r>
      <w:r w:rsidR="003F41C1" w:rsidRPr="005F1208">
        <w:rPr>
          <w:rFonts w:ascii="Times New Roman" w:eastAsia="仿宋_GB2312" w:hAnsi="Times New Roman"/>
          <w:color w:val="000000" w:themeColor="text1"/>
          <w:sz w:val="32"/>
          <w:szCs w:val="28"/>
        </w:rPr>
        <w:t>倍</w:t>
      </w:r>
      <w:r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；城市基础设施配套费收入</w:t>
      </w:r>
      <w:r w:rsidR="00957D88" w:rsidRPr="005F1208">
        <w:rPr>
          <w:rFonts w:ascii="Times New Roman" w:eastAsia="仿宋_GB2312" w:hAnsi="Times New Roman"/>
          <w:color w:val="000000" w:themeColor="text1"/>
          <w:sz w:val="32"/>
          <w:szCs w:val="28"/>
        </w:rPr>
        <w:t>1.</w:t>
      </w:r>
      <w:r w:rsidR="007F02EF" w:rsidRPr="005F1208">
        <w:rPr>
          <w:rFonts w:ascii="Times New Roman" w:eastAsia="仿宋_GB2312" w:hAnsi="Times New Roman"/>
          <w:color w:val="000000" w:themeColor="text1"/>
          <w:sz w:val="32"/>
          <w:szCs w:val="28"/>
        </w:rPr>
        <w:t>7</w:t>
      </w:r>
      <w:r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亿元，</w:t>
      </w:r>
      <w:r w:rsidR="00957D88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减收</w:t>
      </w:r>
      <w:r w:rsidR="007F02EF" w:rsidRPr="005F1208">
        <w:rPr>
          <w:rFonts w:ascii="Times New Roman" w:eastAsia="仿宋_GB2312" w:hAnsi="Times New Roman"/>
          <w:color w:val="000000" w:themeColor="text1"/>
          <w:sz w:val="32"/>
          <w:szCs w:val="28"/>
        </w:rPr>
        <w:t>0.5</w:t>
      </w:r>
      <w:r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亿元</w:t>
      </w:r>
      <w:r w:rsidR="00473B41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，</w:t>
      </w:r>
      <w:r w:rsidR="00957D88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下降</w:t>
      </w:r>
      <w:r w:rsidR="007F02EF" w:rsidRPr="005F1208">
        <w:rPr>
          <w:rFonts w:ascii="Times New Roman" w:eastAsia="仿宋_GB2312" w:hAnsi="Times New Roman"/>
          <w:color w:val="000000" w:themeColor="text1"/>
          <w:sz w:val="32"/>
          <w:szCs w:val="28"/>
        </w:rPr>
        <w:t>23.7</w:t>
      </w:r>
      <w:r w:rsidR="003F41C1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%</w:t>
      </w:r>
      <w:r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。政府性基金支出</w:t>
      </w:r>
      <w:r w:rsidR="007F02EF" w:rsidRPr="005F1208">
        <w:rPr>
          <w:rFonts w:ascii="Times New Roman" w:eastAsia="仿宋_GB2312" w:hAnsi="Times New Roman"/>
          <w:color w:val="000000" w:themeColor="text1"/>
          <w:sz w:val="32"/>
          <w:szCs w:val="28"/>
        </w:rPr>
        <w:t>12.8</w:t>
      </w:r>
      <w:r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亿元，较去年</w:t>
      </w:r>
      <w:r w:rsidR="00AD123A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减少</w:t>
      </w:r>
      <w:r w:rsidR="007F02EF" w:rsidRPr="005F1208">
        <w:rPr>
          <w:rFonts w:ascii="Times New Roman" w:eastAsia="仿宋_GB2312" w:hAnsi="Times New Roman"/>
          <w:color w:val="000000" w:themeColor="text1"/>
          <w:sz w:val="32"/>
          <w:szCs w:val="28"/>
        </w:rPr>
        <w:t>2.5</w:t>
      </w:r>
      <w:r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亿元，同比</w:t>
      </w:r>
      <w:r w:rsidR="00AD123A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下降</w:t>
      </w:r>
      <w:r w:rsidR="007F02EF" w:rsidRPr="005F1208">
        <w:rPr>
          <w:rFonts w:ascii="Times New Roman" w:eastAsia="仿宋_GB2312" w:hAnsi="Times New Roman"/>
          <w:color w:val="000000" w:themeColor="text1"/>
          <w:sz w:val="32"/>
          <w:szCs w:val="28"/>
        </w:rPr>
        <w:t>16.5</w:t>
      </w:r>
      <w:r w:rsidRPr="005F1208">
        <w:rPr>
          <w:rFonts w:ascii="Times New Roman" w:eastAsia="仿宋_GB2312" w:hAnsi="Times New Roman"/>
          <w:color w:val="000000" w:themeColor="text1"/>
          <w:sz w:val="32"/>
          <w:szCs w:val="28"/>
        </w:rPr>
        <w:t>%</w:t>
      </w:r>
      <w:r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，</w:t>
      </w:r>
      <w:r w:rsidR="00737DAB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完成</w:t>
      </w:r>
      <w:r w:rsidR="00EF2F96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年度</w:t>
      </w:r>
      <w:r w:rsidR="00737DAB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预算</w:t>
      </w:r>
      <w:r w:rsidR="003F41C1" w:rsidRPr="005F1208">
        <w:rPr>
          <w:rFonts w:ascii="Times New Roman" w:eastAsia="仿宋_GB2312" w:hAnsi="Times New Roman"/>
          <w:color w:val="000000" w:themeColor="text1"/>
          <w:sz w:val="32"/>
          <w:szCs w:val="28"/>
        </w:rPr>
        <w:t>62.3</w:t>
      </w:r>
      <w:r w:rsidR="00B66C42"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亿元的</w:t>
      </w:r>
      <w:r w:rsidR="007F02EF" w:rsidRPr="005F1208">
        <w:rPr>
          <w:rFonts w:ascii="Times New Roman" w:eastAsia="仿宋_GB2312" w:hAnsi="Times New Roman"/>
          <w:color w:val="000000" w:themeColor="text1"/>
          <w:sz w:val="32"/>
          <w:szCs w:val="28"/>
        </w:rPr>
        <w:t>20.6</w:t>
      </w:r>
      <w:r w:rsidR="00B66C42" w:rsidRPr="005F1208">
        <w:rPr>
          <w:rFonts w:ascii="Times New Roman" w:eastAsia="仿宋_GB2312" w:hAnsi="Times New Roman"/>
          <w:color w:val="000000" w:themeColor="text1"/>
          <w:sz w:val="32"/>
          <w:szCs w:val="28"/>
        </w:rPr>
        <w:t>%</w:t>
      </w:r>
      <w:r w:rsidRPr="005F1208">
        <w:rPr>
          <w:rFonts w:ascii="Times New Roman" w:eastAsia="仿宋_GB2312" w:hAnsi="Times New Roman" w:hint="eastAsia"/>
          <w:color w:val="000000" w:themeColor="text1"/>
          <w:sz w:val="32"/>
          <w:szCs w:val="28"/>
        </w:rPr>
        <w:t>。</w:t>
      </w:r>
    </w:p>
    <w:p w14:paraId="2C1DEE8D" w14:textId="77777777" w:rsidR="00A62EC7" w:rsidRPr="005F1208" w:rsidRDefault="00A62EC7" w:rsidP="00C704FC">
      <w:pPr>
        <w:spacing w:line="360" w:lineRule="auto"/>
        <w:ind w:firstLine="705"/>
        <w:rPr>
          <w:rFonts w:ascii="楷体_GB2312" w:eastAsia="楷体_GB2312" w:hAnsi="Times New Roman"/>
          <w:b/>
          <w:color w:val="000000" w:themeColor="text1"/>
          <w:sz w:val="32"/>
          <w:szCs w:val="28"/>
        </w:rPr>
      </w:pPr>
      <w:r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（三）国有资本经营预算</w:t>
      </w:r>
    </w:p>
    <w:p w14:paraId="135556D7" w14:textId="207AB5F3" w:rsidR="00A62EC7" w:rsidRPr="005F1208" w:rsidRDefault="00A62EC7" w:rsidP="00C704FC">
      <w:pPr>
        <w:spacing w:line="360" w:lineRule="auto"/>
        <w:ind w:firstLine="70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至</w:t>
      </w:r>
      <w:r w:rsidR="007F02EF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月，生态城未实现国有资本经营预算收入，也未发生国有资本经营预算支出。</w:t>
      </w:r>
    </w:p>
    <w:p w14:paraId="4BF131BF" w14:textId="77777777" w:rsidR="00B225FB" w:rsidRPr="005F1208" w:rsidRDefault="00473B41" w:rsidP="00C704FC">
      <w:pPr>
        <w:spacing w:line="360" w:lineRule="auto"/>
        <w:ind w:firstLine="705"/>
        <w:rPr>
          <w:rFonts w:ascii="楷体_GB2312" w:eastAsia="楷体_GB2312" w:hAnsi="Times New Roman" w:cs="Times New Roman"/>
          <w:b/>
          <w:color w:val="000000" w:themeColor="text1"/>
          <w:sz w:val="32"/>
          <w:szCs w:val="32"/>
        </w:rPr>
      </w:pPr>
      <w:r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（四）</w:t>
      </w:r>
      <w:r w:rsidR="005B50F1"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预算执行主要特点</w:t>
      </w:r>
    </w:p>
    <w:p w14:paraId="25EF51EE" w14:textId="562CC0EB" w:rsidR="002857A0" w:rsidRPr="005F1208" w:rsidRDefault="00BF531A" w:rsidP="00C704FC">
      <w:pPr>
        <w:spacing w:line="360" w:lineRule="auto"/>
        <w:ind w:firstLine="70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1208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一是</w:t>
      </w:r>
      <w:r w:rsidR="0002450B" w:rsidRPr="005F1208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财政收入</w:t>
      </w:r>
      <w:r w:rsidR="00104159" w:rsidRPr="005F1208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稳步增长</w:t>
      </w:r>
      <w:r w:rsidRPr="005F1208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，</w:t>
      </w:r>
      <w:r w:rsidR="0002450B" w:rsidRPr="005F1208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主要税种普遍增收</w:t>
      </w:r>
      <w:r w:rsidR="00104159" w:rsidRPr="005F1208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。</w:t>
      </w:r>
      <w:r w:rsidR="006B5335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今年</w:t>
      </w:r>
      <w:r w:rsidR="006B5335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</w:t>
      </w:r>
      <w:r w:rsidR="006B5335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至</w:t>
      </w:r>
      <w:r w:rsidR="006B5335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7</w:t>
      </w:r>
      <w:r w:rsidR="006B5335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月，</w:t>
      </w:r>
      <w:r w:rsidR="0002450B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生态城实现本级一般公共预算收入</w:t>
      </w:r>
      <w:r w:rsidR="006B5335" w:rsidRPr="005F1208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22.1</w:t>
      </w:r>
      <w:r w:rsidR="0002450B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亿元，同比增长</w:t>
      </w:r>
      <w:r w:rsidR="006B5335" w:rsidRPr="005F1208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29.5</w:t>
      </w:r>
      <w:r w:rsidR="0002450B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%</w:t>
      </w:r>
      <w:r w:rsidR="0002450B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。今年以来，随着房地产市场回暖和</w:t>
      </w:r>
      <w:r w:rsidR="002857A0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重点</w:t>
      </w:r>
      <w:r w:rsidR="0002450B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企业</w:t>
      </w:r>
      <w:r w:rsidR="002857A0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项目投产，</w:t>
      </w:r>
      <w:r w:rsidR="0002450B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生态城财政收入持续向好，在</w:t>
      </w:r>
      <w:r w:rsidR="0002450B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</w:t>
      </w:r>
      <w:r w:rsidR="0002450B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月增长</w:t>
      </w:r>
      <w:r w:rsidR="0002450B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8.5%</w:t>
      </w:r>
      <w:r w:rsidR="0002450B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，一季度增长</w:t>
      </w:r>
      <w:r w:rsidR="0002450B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21.3%</w:t>
      </w:r>
      <w:r w:rsidR="0002450B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，高标准实现“开门红”的基础上，</w:t>
      </w:r>
      <w:r w:rsidR="004839D0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截至</w:t>
      </w:r>
      <w:r w:rsidR="004839D0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7</w:t>
      </w:r>
      <w:r w:rsidR="004839D0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月，</w:t>
      </w:r>
      <w:r w:rsidR="0002450B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增速</w:t>
      </w:r>
      <w:r w:rsidR="004839D0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已</w:t>
      </w:r>
      <w:r w:rsidR="0002450B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进一步扩大至</w:t>
      </w:r>
      <w:r w:rsidR="004839D0" w:rsidRPr="005F1208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29.5</w:t>
      </w:r>
      <w:r w:rsidR="0002450B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%</w:t>
      </w:r>
      <w:r w:rsidR="0002450B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，完成年初预算的</w:t>
      </w:r>
      <w:r w:rsidR="006B5335" w:rsidRPr="005F1208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63.4</w:t>
      </w:r>
      <w:r w:rsidR="0002450B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%</w:t>
      </w:r>
      <w:r w:rsidR="0002450B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，快于序时进度</w:t>
      </w:r>
      <w:r w:rsidR="0002450B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5.</w:t>
      </w:r>
      <w:r w:rsidR="00492F28" w:rsidRPr="005F1208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1</w:t>
      </w:r>
      <w:r w:rsidR="0002450B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个百分点。</w:t>
      </w:r>
      <w:r w:rsidR="002857A0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增值税、企业所得税、土地增值税、契税等主要税种合计增收</w:t>
      </w:r>
      <w:r w:rsidR="004839D0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超</w:t>
      </w:r>
      <w:r w:rsidR="002857A0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4</w:t>
      </w:r>
      <w:r w:rsidR="002857A0" w:rsidRPr="005F1208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亿元。</w:t>
      </w:r>
    </w:p>
    <w:p w14:paraId="00DEE4C0" w14:textId="680BF9B8" w:rsidR="0002450B" w:rsidRPr="005F1208" w:rsidRDefault="000C1C2E" w:rsidP="00C704FC">
      <w:pPr>
        <w:spacing w:line="360" w:lineRule="auto"/>
        <w:ind w:firstLine="70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1208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二是全面落实减税降费政策，为企业发展助力撑腰。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从讲政治的高度抓好减税降费工作，从严从实做好惠企纾困各项工作，坚决落实减税降费等政策，持续优化营商环境，更好服务区域内经济发展。</w:t>
      </w:r>
      <w:r w:rsidR="006B5335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今年</w:t>
      </w:r>
      <w:r w:rsidR="006B5335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 w:rsidR="006B5335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至</w:t>
      </w:r>
      <w:r w:rsidR="006B5335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="006B5335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="00055D55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为区内企业减免各项税费超过</w:t>
      </w:r>
      <w:r w:rsidR="00891FDC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 w:rsidR="00891FDC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切实纾解企业运转困难，助力企业持续健康发展。</w:t>
      </w:r>
    </w:p>
    <w:p w14:paraId="3D07FCE5" w14:textId="088CC6C5" w:rsidR="00776C3C" w:rsidRPr="005F1208" w:rsidRDefault="000C1C2E" w:rsidP="00C704FC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F1208">
        <w:rPr>
          <w:rFonts w:ascii="Times New Roman" w:eastAsia="仿宋_GB2312" w:hAnsi="Times New Roman" w:cs="仿宋_GB2312" w:hint="eastAsia"/>
          <w:b/>
          <w:color w:val="000000" w:themeColor="text1"/>
          <w:kern w:val="0"/>
          <w:sz w:val="32"/>
          <w:szCs w:val="32"/>
        </w:rPr>
        <w:lastRenderedPageBreak/>
        <w:t>三</w:t>
      </w:r>
      <w:r w:rsidR="005B50F1" w:rsidRPr="005F1208">
        <w:rPr>
          <w:rFonts w:ascii="Times New Roman" w:eastAsia="仿宋_GB2312" w:hAnsi="Times New Roman" w:cs="仿宋_GB2312" w:hint="eastAsia"/>
          <w:b/>
          <w:color w:val="000000" w:themeColor="text1"/>
          <w:kern w:val="0"/>
          <w:sz w:val="32"/>
          <w:szCs w:val="32"/>
        </w:rPr>
        <w:t>是</w:t>
      </w:r>
      <w:r w:rsidR="006E4A6F" w:rsidRPr="005F1208">
        <w:rPr>
          <w:rFonts w:ascii="Times New Roman" w:eastAsia="仿宋_GB2312" w:hAnsi="Times New Roman" w:cs="仿宋_GB2312" w:hint="eastAsia"/>
          <w:b/>
          <w:color w:val="000000" w:themeColor="text1"/>
          <w:kern w:val="0"/>
          <w:sz w:val="32"/>
          <w:szCs w:val="32"/>
        </w:rPr>
        <w:t>不断强化资金统筹</w:t>
      </w:r>
      <w:r w:rsidR="000B7532" w:rsidRPr="005F1208">
        <w:rPr>
          <w:rFonts w:ascii="Times New Roman" w:eastAsia="仿宋_GB2312" w:hAnsi="Times New Roman" w:cs="仿宋_GB2312" w:hint="eastAsia"/>
          <w:b/>
          <w:color w:val="000000" w:themeColor="text1"/>
          <w:kern w:val="0"/>
          <w:sz w:val="32"/>
          <w:szCs w:val="32"/>
        </w:rPr>
        <w:t>，</w:t>
      </w:r>
      <w:r w:rsidR="000D5A66" w:rsidRPr="005F1208">
        <w:rPr>
          <w:rFonts w:ascii="Times New Roman" w:eastAsia="仿宋_GB2312" w:hAnsi="Times New Roman" w:cs="仿宋_GB2312" w:hint="eastAsia"/>
          <w:b/>
          <w:color w:val="000000" w:themeColor="text1"/>
          <w:kern w:val="0"/>
          <w:sz w:val="32"/>
          <w:szCs w:val="32"/>
        </w:rPr>
        <w:t>重点支出</w:t>
      </w:r>
      <w:r w:rsidR="003139BF" w:rsidRPr="005F1208">
        <w:rPr>
          <w:rFonts w:ascii="Times New Roman" w:eastAsia="仿宋_GB2312" w:hAnsi="Times New Roman" w:cs="仿宋_GB2312" w:hint="eastAsia"/>
          <w:b/>
          <w:color w:val="000000" w:themeColor="text1"/>
          <w:kern w:val="0"/>
          <w:sz w:val="32"/>
          <w:szCs w:val="32"/>
        </w:rPr>
        <w:t>得到有力</w:t>
      </w:r>
      <w:r w:rsidR="000B7532" w:rsidRPr="005F1208">
        <w:rPr>
          <w:rFonts w:ascii="Times New Roman" w:eastAsia="仿宋_GB2312" w:hAnsi="Times New Roman" w:cs="仿宋_GB2312" w:hint="eastAsia"/>
          <w:b/>
          <w:color w:val="000000" w:themeColor="text1"/>
          <w:kern w:val="0"/>
          <w:sz w:val="32"/>
          <w:szCs w:val="32"/>
        </w:rPr>
        <w:t>保障。</w:t>
      </w:r>
      <w:r w:rsidR="003139BF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严格落实政府“</w:t>
      </w:r>
      <w:r w:rsidR="002620D5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真</w:t>
      </w:r>
      <w:r w:rsidR="003139BF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过紧日子”要求，做好库款运行管理，强化重点支出资金保障，确保财政资金发挥最大效益。</w:t>
      </w:r>
      <w:r w:rsidR="006B5335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今年</w:t>
      </w:r>
      <w:r w:rsidR="006B5335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1</w:t>
      </w:r>
      <w:r w:rsidR="006B5335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至</w:t>
      </w:r>
      <w:r w:rsidR="006B5335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7</w:t>
      </w:r>
      <w:r w:rsidR="006B5335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月</w:t>
      </w:r>
      <w:r w:rsidR="003139BF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完成一般公共预算支出</w:t>
      </w:r>
      <w:r w:rsidR="006B5335" w:rsidRPr="005F1208">
        <w:rPr>
          <w:rFonts w:ascii="Times New Roman" w:eastAsia="仿宋_GB2312" w:hAnsi="Times New Roman" w:cs="仿宋_GB2312"/>
          <w:color w:val="000000" w:themeColor="text1"/>
          <w:kern w:val="0"/>
          <w:sz w:val="32"/>
          <w:szCs w:val="32"/>
        </w:rPr>
        <w:t>17.9</w:t>
      </w:r>
      <w:r w:rsidR="003139BF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亿元，其中教育、科技、社会保障、卫生健康等领域支出占比超过</w:t>
      </w:r>
      <w:r w:rsidR="003139BF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80%</w:t>
      </w:r>
      <w:r w:rsidR="003139BF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，民计民生和产业高质量发展等相关支出得到有力保障。</w:t>
      </w:r>
      <w:r w:rsidR="00F544C7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积极争取专项债券资金支持</w:t>
      </w:r>
      <w:r w:rsidR="00F544C7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,</w:t>
      </w:r>
      <w:r w:rsidR="00F544C7"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助力重点项目建设，</w:t>
      </w:r>
      <w:r w:rsidR="006B5335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 w:rsidR="006B5335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至</w:t>
      </w:r>
      <w:r w:rsidR="006B5335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7</w:t>
      </w:r>
      <w:r w:rsidR="006B5335"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争取并获批新增政府专项债券额度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17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亿元，其中已成功发行</w:t>
      </w:r>
      <w:r w:rsidR="006B5335" w:rsidRPr="005F120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11.2</w:t>
      </w:r>
      <w:r w:rsidRPr="005F120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亿元，为重点项目建设提供有力资金保障。</w:t>
      </w:r>
    </w:p>
    <w:p w14:paraId="63AC99C3" w14:textId="767DAF62" w:rsidR="00AC73C1" w:rsidRPr="005F1208" w:rsidRDefault="005B50F1" w:rsidP="00C704FC">
      <w:pPr>
        <w:spacing w:line="360" w:lineRule="auto"/>
        <w:ind w:firstLineChars="200" w:firstLine="640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5F1208">
        <w:rPr>
          <w:rFonts w:ascii="Times New Roman" w:eastAsia="黑体" w:hAnsi="Times New Roman" w:hint="eastAsia"/>
          <w:color w:val="000000" w:themeColor="text1"/>
          <w:sz w:val="32"/>
          <w:szCs w:val="32"/>
        </w:rPr>
        <w:t>三</w:t>
      </w:r>
      <w:r w:rsidR="00AC73C1" w:rsidRPr="005F1208">
        <w:rPr>
          <w:rFonts w:ascii="Times New Roman" w:eastAsia="黑体" w:hAnsi="Times New Roman" w:hint="eastAsia"/>
          <w:color w:val="000000" w:themeColor="text1"/>
          <w:sz w:val="32"/>
          <w:szCs w:val="32"/>
        </w:rPr>
        <w:t>、</w:t>
      </w:r>
      <w:r w:rsidR="00444EE0" w:rsidRPr="005F1208">
        <w:rPr>
          <w:rFonts w:ascii="Times New Roman" w:eastAsia="黑体" w:hAnsi="Times New Roman" w:hint="eastAsia"/>
          <w:color w:val="000000" w:themeColor="text1"/>
          <w:sz w:val="32"/>
          <w:szCs w:val="32"/>
        </w:rPr>
        <w:t>下一步财政重点工作安排</w:t>
      </w:r>
    </w:p>
    <w:p w14:paraId="6F93A74D" w14:textId="2A222325" w:rsidR="00206BFB" w:rsidRPr="005F1208" w:rsidRDefault="00CF3EDF" w:rsidP="00C704FC">
      <w:pPr>
        <w:spacing w:line="360" w:lineRule="auto"/>
        <w:ind w:firstLine="705"/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目前，</w:t>
      </w:r>
      <w:r w:rsidR="00F17D0B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财政收入稳步增长，</w:t>
      </w:r>
      <w:r w:rsidR="0058652A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但</w:t>
      </w:r>
      <w:r w:rsidR="00DD7E40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各领域对财政资金需求</w:t>
      </w:r>
      <w:r w:rsidR="0058652A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仍</w:t>
      </w:r>
      <w:r w:rsidR="00DD7E40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呈增长态势，财政收支矛盾</w:t>
      </w:r>
      <w:r w:rsidR="00206BFB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依旧</w:t>
      </w:r>
      <w:r w:rsidR="00E43B47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突出</w:t>
      </w:r>
      <w:r w:rsidR="00F17D0B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，下一步，</w:t>
      </w:r>
      <w:r w:rsidR="0005716F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生态城将继续加强组织收入调度，持续做</w:t>
      </w:r>
      <w:r w:rsidR="00206BFB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强税源“底盘”，强化财政资源统筹，调整优化支出结构，集中财力保障重点支出，</w:t>
      </w:r>
      <w:r w:rsidR="0058652A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强化预算约束和绩效管理，提高财政支出的精准性、有效性，</w:t>
      </w:r>
      <w:r w:rsidR="00206BFB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防范化解债务风险，</w:t>
      </w:r>
      <w:r w:rsidR="0058652A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保障财政平稳运行</w:t>
      </w:r>
      <w:r w:rsidR="00206BFB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。</w:t>
      </w:r>
    </w:p>
    <w:p w14:paraId="0E863088" w14:textId="33A8BE11" w:rsidR="00927A31" w:rsidRPr="005F1208" w:rsidRDefault="00927A31" w:rsidP="00C704FC">
      <w:pPr>
        <w:spacing w:line="360" w:lineRule="auto"/>
        <w:ind w:firstLine="705"/>
        <w:rPr>
          <w:rFonts w:ascii="楷体_GB2312" w:eastAsia="楷体_GB2312" w:hAnsi="Times New Roman" w:cs="Times New Roman"/>
          <w:b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（一）</w:t>
      </w:r>
      <w:r w:rsidR="007D4901"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大力</w:t>
      </w:r>
      <w:r w:rsidR="00046EA1"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涵养财源税源，筑牢</w:t>
      </w:r>
      <w:r w:rsidR="00A4620E"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收入稳定增长基础</w:t>
      </w:r>
    </w:p>
    <w:p w14:paraId="4D00991D" w14:textId="186F671D" w:rsidR="00A4620E" w:rsidRPr="005F1208" w:rsidRDefault="00046EA1" w:rsidP="00C704FC">
      <w:pPr>
        <w:spacing w:line="360" w:lineRule="auto"/>
        <w:ind w:firstLine="705"/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全面落实各项减税降费政策，</w:t>
      </w:r>
      <w:r w:rsidR="00420E81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坚持应享尽享、应退尽退，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让更多企业享受政策红利，稳定发展预期，坚定市场信心。</w:t>
      </w:r>
      <w:r w:rsidR="007A694A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强化财税运行调度，</w:t>
      </w:r>
      <w:r w:rsidR="00A4620E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发挥税源建设机制作用，</w:t>
      </w:r>
      <w:r w:rsidR="007A694A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做好税源跟踪服务和收入预测分析，及时协调解决企业诉求难题，</w:t>
      </w:r>
      <w:r w:rsidR="00041B94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着力稳存量、扩增量、提质量</w:t>
      </w:r>
      <w:r w:rsidR="00420E81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，为财政收入稳定增长</w:t>
      </w:r>
      <w:r w:rsidR="00420E81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lastRenderedPageBreak/>
        <w:t>提供支撑</w:t>
      </w:r>
      <w:r w:rsidR="00CD71D6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。</w:t>
      </w:r>
      <w:r w:rsidR="007D4901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加强金融政策、产业政策协同联动，用足用好产业基金、中小担基金等金融服务政策和渠道资源，吸引优质企业落户，发挥基金强链、补链的作用，促进生态城重点产业链培育和发展。</w:t>
      </w:r>
    </w:p>
    <w:p w14:paraId="2AFEC0DB" w14:textId="33B5688F" w:rsidR="00885DCB" w:rsidRPr="005F1208" w:rsidRDefault="00885DCB" w:rsidP="00C704FC">
      <w:pPr>
        <w:spacing w:line="360" w:lineRule="auto"/>
        <w:ind w:firstLine="705"/>
        <w:rPr>
          <w:rFonts w:ascii="楷体_GB2312" w:eastAsia="楷体_GB2312" w:hAnsi="Times New Roman" w:cs="Times New Roman"/>
          <w:b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（二）</w:t>
      </w:r>
      <w:r w:rsidR="007D4901"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落实人民至上思想，</w:t>
      </w:r>
      <w:r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强化民生领域投入保障</w:t>
      </w:r>
    </w:p>
    <w:p w14:paraId="0A396ACD" w14:textId="5803A84F" w:rsidR="00A4620E" w:rsidRPr="005F1208" w:rsidRDefault="007D4901" w:rsidP="00C704FC">
      <w:pPr>
        <w:spacing w:line="360" w:lineRule="auto"/>
        <w:ind w:firstLine="705"/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优化支出结构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</w:t>
      </w:r>
      <w:r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保障民生领域支出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。</w:t>
      </w:r>
      <w:r w:rsidR="00666EAD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支持社会事业发展</w:t>
      </w:r>
      <w:r w:rsidR="00666EAD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</w:t>
      </w:r>
      <w:r w:rsidR="00666EAD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加快完整社区建设</w:t>
      </w:r>
      <w:r w:rsidR="00666EAD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</w:t>
      </w:r>
      <w:r w:rsidR="00666EAD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完善公共服务配套</w:t>
      </w:r>
      <w:r w:rsidR="00666EAD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</w:t>
      </w:r>
      <w:r w:rsidR="00666EAD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落实最低生活保障</w:t>
      </w:r>
      <w:r w:rsidR="00666EAD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、</w:t>
      </w:r>
      <w:r w:rsidR="00666EAD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低收入家庭救助</w:t>
      </w:r>
      <w:r w:rsidR="00666EAD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、</w:t>
      </w:r>
      <w:r w:rsidR="00666EAD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临时救助等政策</w:t>
      </w:r>
      <w:r w:rsidR="00666EAD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</w:t>
      </w:r>
      <w:r w:rsidR="00666EAD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切实织密社会保障安全网</w:t>
      </w:r>
      <w:r w:rsidR="00666EAD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。</w:t>
      </w:r>
      <w:r w:rsidR="00FE2BC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支持</w:t>
      </w:r>
      <w:r w:rsidR="00FE2BCC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教育事业发展</w:t>
      </w:r>
      <w:r w:rsidR="00666EAD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，继续落实好</w:t>
      </w:r>
      <w:r w:rsidR="00666EAD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“</w:t>
      </w:r>
      <w:r w:rsidR="00666EAD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两个只增不减</w:t>
      </w:r>
      <w:r w:rsidR="00666EAD"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”</w:t>
      </w:r>
      <w:r w:rsidR="00666EAD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教育经费保障，</w:t>
      </w:r>
      <w:r w:rsidR="00F773A7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加快建设</w:t>
      </w:r>
      <w:r w:rsidR="00F773A7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50</w:t>
      </w:r>
      <w:r w:rsidR="00F773A7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地块中学、</w:t>
      </w:r>
      <w:r w:rsidR="00FF363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动漫园小学等学校建设</w:t>
      </w:r>
      <w:r w:rsidR="00F773A7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，实现学校资源与学位需求相匹配。推进基层医疗卫生服务提升，保障基本公共卫生服务补助经费</w:t>
      </w:r>
      <w:r w:rsidR="00FE2BC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。</w:t>
      </w:r>
    </w:p>
    <w:p w14:paraId="57C2FAC3" w14:textId="77777777" w:rsidR="00A34097" w:rsidRPr="005F1208" w:rsidRDefault="00A34097" w:rsidP="00C704FC">
      <w:pPr>
        <w:spacing w:line="360" w:lineRule="auto"/>
        <w:ind w:firstLine="705"/>
        <w:rPr>
          <w:rFonts w:ascii="楷体_GB2312" w:eastAsia="楷体_GB2312" w:hAnsi="Times New Roman" w:cs="Times New Roman"/>
          <w:b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（三）统筹发展与安全，增强财政可持续力</w:t>
      </w:r>
    </w:p>
    <w:p w14:paraId="17E382F9" w14:textId="28FE969B" w:rsidR="007E209C" w:rsidRPr="005F1208" w:rsidRDefault="00A34097" w:rsidP="00C704FC">
      <w:pPr>
        <w:spacing w:line="360" w:lineRule="auto"/>
        <w:ind w:firstLine="705"/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加强政府债务管理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</w:t>
      </w:r>
      <w:r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牢固树立底线思维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</w:t>
      </w:r>
      <w:r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平衡好促发展和防风险的关系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。</w:t>
      </w:r>
      <w:r w:rsidRPr="005F1208">
        <w:rPr>
          <w:rFonts w:ascii="Times New Roman" w:eastAsia="仿宋_GB2312" w:hAnsi="Times New Roman" w:cs="仿宋_GB2312" w:hint="eastAsia"/>
          <w:color w:val="000000" w:themeColor="text1"/>
          <w:kern w:val="0"/>
          <w:sz w:val="32"/>
          <w:szCs w:val="32"/>
        </w:rPr>
        <w:t>严格落实地方债务预算管理相关规定和要求，分类纳入全口径预算。用足用好新增债券资金，严格落实偿债资金来源，推动债券资金早投入、早使用、早见效，尽快形成实物工作量。</w:t>
      </w:r>
      <w:r w:rsidR="00882321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坚持“三保”支出优先顺序，</w:t>
      </w:r>
      <w:r w:rsidR="007E209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兜牢“三保”底线，</w:t>
      </w:r>
      <w:r w:rsidR="00882321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监测预算执行情况和库款情况</w:t>
      </w:r>
      <w:r w:rsidR="00661A38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，统筹调度资金，优先保障“三保”支出需求，</w:t>
      </w:r>
      <w:r w:rsidR="007E209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保持财政平稳运行。</w:t>
      </w:r>
    </w:p>
    <w:p w14:paraId="0E244C06" w14:textId="77777777" w:rsidR="007E209C" w:rsidRPr="005F1208" w:rsidRDefault="00661A38" w:rsidP="00C704FC">
      <w:pPr>
        <w:spacing w:line="360" w:lineRule="auto"/>
        <w:ind w:firstLine="705"/>
        <w:rPr>
          <w:rFonts w:ascii="楷体_GB2312" w:eastAsia="楷体_GB2312" w:hAnsi="Times New Roman" w:cs="Times New Roman"/>
          <w:b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（</w:t>
      </w:r>
      <w:r w:rsidR="0005716F"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四</w:t>
      </w:r>
      <w:r w:rsidRPr="005F1208">
        <w:rPr>
          <w:rFonts w:ascii="楷体_GB2312" w:eastAsia="楷体_GB2312" w:hAnsi="Times New Roman" w:cs="Times New Roman" w:hint="eastAsia"/>
          <w:b/>
          <w:snapToGrid w:val="0"/>
          <w:color w:val="000000" w:themeColor="text1"/>
          <w:spacing w:val="8"/>
          <w:kern w:val="0"/>
          <w:sz w:val="32"/>
          <w:szCs w:val="32"/>
        </w:rPr>
        <w:t>）深化预算管理制度改革，提升财政预算管理水平</w:t>
      </w:r>
    </w:p>
    <w:p w14:paraId="2185332F" w14:textId="42AB4B5C" w:rsidR="00E449A5" w:rsidRPr="005F1208" w:rsidRDefault="006A3ED0" w:rsidP="00C704FC">
      <w:pPr>
        <w:spacing w:line="360" w:lineRule="auto"/>
        <w:ind w:firstLine="705"/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lastRenderedPageBreak/>
        <w:t>全面贯彻预算法和预算法实施条例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</w:t>
      </w:r>
      <w:r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严格执行经批准的预算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</w:t>
      </w:r>
      <w:r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加强预算决算公开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</w:t>
      </w:r>
      <w:r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提升公开的及时性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、</w:t>
      </w:r>
      <w:r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完整性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、</w:t>
      </w:r>
      <w:r w:rsidRPr="005F1208"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  <w:t>规范性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。持续推进预算一体化改革，优化国库集中收付管理，完善预算支出审核监控流程，提升资金支付效率。</w:t>
      </w:r>
      <w:r w:rsidR="00BF40F1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坚持“真过紧日子”，强化“三公”经费管理，大力压减一般性支出，努力降低行政运行成本。</w:t>
      </w:r>
      <w:r w:rsidR="00055D55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强化预算绩效目标体系应用，提高预算部门绩效目标编制的科学性和规范性。</w:t>
      </w:r>
      <w:r w:rsidR="00710E1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不断推进</w:t>
      </w:r>
      <w:r w:rsidR="00E42E69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绩效管理</w:t>
      </w:r>
      <w:r w:rsidR="00710E1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体系建设</w:t>
      </w:r>
      <w:r w:rsidR="00E42E69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，确保财政资源高效配置。</w:t>
      </w:r>
    </w:p>
    <w:p w14:paraId="0E0963F9" w14:textId="0A4C2286" w:rsidR="00E449A5" w:rsidRPr="00F45340" w:rsidRDefault="007D4901" w:rsidP="00C704FC">
      <w:pPr>
        <w:spacing w:line="360" w:lineRule="auto"/>
        <w:ind w:firstLine="705"/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</w:pP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2023</w:t>
      </w:r>
      <w:r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年是全面贯彻落实党的二十大精神的开局之年</w:t>
      </w:r>
      <w:r w:rsidR="00710E1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</w:t>
      </w:r>
      <w:r w:rsidR="005B2636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在今后的工作中，我们将更加紧密地团结在以习近平同志为核心的党中央周围，以</w:t>
      </w:r>
      <w:r w:rsidR="00710E1C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习近平新时代中国特色社会主义思想为指导，</w:t>
      </w:r>
      <w:r w:rsidR="005B2636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认真落实市委、市政府和区委决策部署，按照区人大有关决议，坚定信心，</w:t>
      </w:r>
      <w:r w:rsidR="002A66CF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砥砺奋进</w:t>
      </w:r>
      <w:r w:rsidR="005B2636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，积极发挥财政职能作用，为</w:t>
      </w:r>
      <w:r w:rsidR="002A66CF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构建“双城”发展格局、加快新时代美丽</w:t>
      </w:r>
      <w:r w:rsidR="00BC1507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“滨城”</w:t>
      </w:r>
      <w:r w:rsidR="002A66CF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建设</w:t>
      </w:r>
      <w:r w:rsidR="005B2636" w:rsidRPr="005F1208">
        <w:rPr>
          <w:rFonts w:ascii="Times New Roman" w:eastAsia="仿宋_GB2312" w:hAnsi="Times New Roman" w:cs="Times New Roman" w:hint="eastAsia"/>
          <w:snapToGrid w:val="0"/>
          <w:color w:val="000000" w:themeColor="text1"/>
          <w:spacing w:val="8"/>
          <w:kern w:val="0"/>
          <w:sz w:val="32"/>
          <w:szCs w:val="32"/>
        </w:rPr>
        <w:t>做出积极贡献。</w:t>
      </w:r>
    </w:p>
    <w:p w14:paraId="3C543131" w14:textId="77777777" w:rsidR="00A454AB" w:rsidRPr="00F45340" w:rsidRDefault="00A454AB" w:rsidP="008C4D6E">
      <w:pPr>
        <w:ind w:firstLine="705"/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</w:pPr>
    </w:p>
    <w:p w14:paraId="04EFF1AE" w14:textId="77777777" w:rsidR="00A454AB" w:rsidRPr="00F45340" w:rsidRDefault="00A454AB" w:rsidP="008C4D6E">
      <w:pPr>
        <w:ind w:firstLine="705"/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</w:pPr>
    </w:p>
    <w:p w14:paraId="041761A1" w14:textId="77777777" w:rsidR="00A454AB" w:rsidRPr="00F45340" w:rsidRDefault="00A454AB" w:rsidP="008C4D6E">
      <w:pPr>
        <w:ind w:firstLine="705"/>
        <w:rPr>
          <w:rFonts w:ascii="Times New Roman" w:eastAsia="仿宋_GB2312" w:hAnsi="Times New Roman" w:cs="Times New Roman"/>
          <w:snapToGrid w:val="0"/>
          <w:color w:val="000000" w:themeColor="text1"/>
          <w:spacing w:val="8"/>
          <w:kern w:val="0"/>
          <w:sz w:val="32"/>
          <w:szCs w:val="32"/>
        </w:rPr>
      </w:pPr>
    </w:p>
    <w:sectPr w:rsidR="00A454AB" w:rsidRPr="00F4534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5BD6C" w14:textId="77777777" w:rsidR="003B045B" w:rsidRDefault="003B045B" w:rsidP="00FD5DB0">
      <w:r>
        <w:separator/>
      </w:r>
    </w:p>
  </w:endnote>
  <w:endnote w:type="continuationSeparator" w:id="0">
    <w:p w14:paraId="65AB61F7" w14:textId="77777777" w:rsidR="003B045B" w:rsidRDefault="003B045B" w:rsidP="00FD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214096"/>
      <w:docPartObj>
        <w:docPartGallery w:val="Page Numbers (Bottom of Page)"/>
        <w:docPartUnique/>
      </w:docPartObj>
    </w:sdtPr>
    <w:sdtEndPr/>
    <w:sdtContent>
      <w:p w14:paraId="095E3BF4" w14:textId="77777777" w:rsidR="00BC691B" w:rsidRDefault="00BC69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208" w:rsidRPr="005F1208">
          <w:rPr>
            <w:noProof/>
            <w:lang w:val="zh-CN"/>
          </w:rPr>
          <w:t>8</w:t>
        </w:r>
        <w:r>
          <w:fldChar w:fldCharType="end"/>
        </w:r>
      </w:p>
    </w:sdtContent>
  </w:sdt>
  <w:p w14:paraId="7F2EBEE0" w14:textId="77777777" w:rsidR="00BC691B" w:rsidRDefault="00BC69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5A716" w14:textId="77777777" w:rsidR="003B045B" w:rsidRDefault="003B045B" w:rsidP="00FD5DB0">
      <w:r>
        <w:separator/>
      </w:r>
    </w:p>
  </w:footnote>
  <w:footnote w:type="continuationSeparator" w:id="0">
    <w:p w14:paraId="2FA0B3A6" w14:textId="77777777" w:rsidR="003B045B" w:rsidRDefault="003B045B" w:rsidP="00FD5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B287A"/>
    <w:multiLevelType w:val="hybridMultilevel"/>
    <w:tmpl w:val="7BDE8748"/>
    <w:lvl w:ilvl="0" w:tplc="F28467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EE"/>
    <w:rsid w:val="00013A47"/>
    <w:rsid w:val="00013ED5"/>
    <w:rsid w:val="00016798"/>
    <w:rsid w:val="00021CF3"/>
    <w:rsid w:val="00023732"/>
    <w:rsid w:val="00023D51"/>
    <w:rsid w:val="0002450B"/>
    <w:rsid w:val="000319AA"/>
    <w:rsid w:val="00032A04"/>
    <w:rsid w:val="00033E4C"/>
    <w:rsid w:val="00041B94"/>
    <w:rsid w:val="00046144"/>
    <w:rsid w:val="00046EA1"/>
    <w:rsid w:val="00051C80"/>
    <w:rsid w:val="0005592D"/>
    <w:rsid w:val="00055D55"/>
    <w:rsid w:val="0005716F"/>
    <w:rsid w:val="0007464F"/>
    <w:rsid w:val="00074A0B"/>
    <w:rsid w:val="000765B6"/>
    <w:rsid w:val="00080155"/>
    <w:rsid w:val="00082C19"/>
    <w:rsid w:val="00083298"/>
    <w:rsid w:val="000847CC"/>
    <w:rsid w:val="00095BF7"/>
    <w:rsid w:val="000A00C4"/>
    <w:rsid w:val="000A0A8E"/>
    <w:rsid w:val="000A6363"/>
    <w:rsid w:val="000A707A"/>
    <w:rsid w:val="000B14E6"/>
    <w:rsid w:val="000B3B7B"/>
    <w:rsid w:val="000B631C"/>
    <w:rsid w:val="000B6689"/>
    <w:rsid w:val="000B7532"/>
    <w:rsid w:val="000C1C2E"/>
    <w:rsid w:val="000C1E72"/>
    <w:rsid w:val="000C6D6B"/>
    <w:rsid w:val="000D0A99"/>
    <w:rsid w:val="000D3974"/>
    <w:rsid w:val="000D5A66"/>
    <w:rsid w:val="000E69D6"/>
    <w:rsid w:val="000E6FB8"/>
    <w:rsid w:val="000F148C"/>
    <w:rsid w:val="000F1765"/>
    <w:rsid w:val="000F48F8"/>
    <w:rsid w:val="00104159"/>
    <w:rsid w:val="0010451A"/>
    <w:rsid w:val="001128FE"/>
    <w:rsid w:val="00113A76"/>
    <w:rsid w:val="0012719F"/>
    <w:rsid w:val="0012741A"/>
    <w:rsid w:val="00133891"/>
    <w:rsid w:val="001440E3"/>
    <w:rsid w:val="00145834"/>
    <w:rsid w:val="00145A64"/>
    <w:rsid w:val="00154669"/>
    <w:rsid w:val="001638FF"/>
    <w:rsid w:val="0016548C"/>
    <w:rsid w:val="00167B09"/>
    <w:rsid w:val="00170A14"/>
    <w:rsid w:val="00173F5E"/>
    <w:rsid w:val="0017636D"/>
    <w:rsid w:val="00177026"/>
    <w:rsid w:val="00177AD4"/>
    <w:rsid w:val="00184A71"/>
    <w:rsid w:val="00187FF0"/>
    <w:rsid w:val="001948C8"/>
    <w:rsid w:val="00194EDC"/>
    <w:rsid w:val="0019684A"/>
    <w:rsid w:val="001A205D"/>
    <w:rsid w:val="001B5461"/>
    <w:rsid w:val="001B5B05"/>
    <w:rsid w:val="001B6786"/>
    <w:rsid w:val="001C1CFA"/>
    <w:rsid w:val="001C44DA"/>
    <w:rsid w:val="001C7832"/>
    <w:rsid w:val="001E13D6"/>
    <w:rsid w:val="001F015D"/>
    <w:rsid w:val="00206BFB"/>
    <w:rsid w:val="00214051"/>
    <w:rsid w:val="002149DB"/>
    <w:rsid w:val="00216758"/>
    <w:rsid w:val="0023506A"/>
    <w:rsid w:val="002413FB"/>
    <w:rsid w:val="00254C6D"/>
    <w:rsid w:val="002620D5"/>
    <w:rsid w:val="00264E19"/>
    <w:rsid w:val="00275CC6"/>
    <w:rsid w:val="00276A41"/>
    <w:rsid w:val="00280C8B"/>
    <w:rsid w:val="002857A0"/>
    <w:rsid w:val="002A0AFA"/>
    <w:rsid w:val="002A36E7"/>
    <w:rsid w:val="002A66CF"/>
    <w:rsid w:val="002B0327"/>
    <w:rsid w:val="002B3C83"/>
    <w:rsid w:val="002C1703"/>
    <w:rsid w:val="002C34ED"/>
    <w:rsid w:val="002D21C8"/>
    <w:rsid w:val="002D5590"/>
    <w:rsid w:val="002E1A1B"/>
    <w:rsid w:val="002F28BF"/>
    <w:rsid w:val="003139BF"/>
    <w:rsid w:val="0031624A"/>
    <w:rsid w:val="00321086"/>
    <w:rsid w:val="003274FF"/>
    <w:rsid w:val="003329B0"/>
    <w:rsid w:val="00334156"/>
    <w:rsid w:val="00337072"/>
    <w:rsid w:val="00342A1E"/>
    <w:rsid w:val="0034308D"/>
    <w:rsid w:val="00344305"/>
    <w:rsid w:val="00350535"/>
    <w:rsid w:val="003545F5"/>
    <w:rsid w:val="00360235"/>
    <w:rsid w:val="00364DD2"/>
    <w:rsid w:val="003660DE"/>
    <w:rsid w:val="00371716"/>
    <w:rsid w:val="0038054C"/>
    <w:rsid w:val="00387F0E"/>
    <w:rsid w:val="003B045B"/>
    <w:rsid w:val="003B5706"/>
    <w:rsid w:val="003C03EA"/>
    <w:rsid w:val="003C144C"/>
    <w:rsid w:val="003C260B"/>
    <w:rsid w:val="003C2FFB"/>
    <w:rsid w:val="003D6BEF"/>
    <w:rsid w:val="003E085D"/>
    <w:rsid w:val="003E6191"/>
    <w:rsid w:val="003E77C3"/>
    <w:rsid w:val="003F322E"/>
    <w:rsid w:val="003F3934"/>
    <w:rsid w:val="003F41C1"/>
    <w:rsid w:val="00401473"/>
    <w:rsid w:val="00402C09"/>
    <w:rsid w:val="004030A9"/>
    <w:rsid w:val="00410884"/>
    <w:rsid w:val="00413959"/>
    <w:rsid w:val="00413BF5"/>
    <w:rsid w:val="00420393"/>
    <w:rsid w:val="00420E81"/>
    <w:rsid w:val="004329C8"/>
    <w:rsid w:val="00435772"/>
    <w:rsid w:val="00437861"/>
    <w:rsid w:val="00444EE0"/>
    <w:rsid w:val="00447E1C"/>
    <w:rsid w:val="00453DFA"/>
    <w:rsid w:val="0046658E"/>
    <w:rsid w:val="00473B41"/>
    <w:rsid w:val="00480DFA"/>
    <w:rsid w:val="004839D0"/>
    <w:rsid w:val="00490DC4"/>
    <w:rsid w:val="00492F28"/>
    <w:rsid w:val="0049766C"/>
    <w:rsid w:val="004B671E"/>
    <w:rsid w:val="004C1A05"/>
    <w:rsid w:val="004E597E"/>
    <w:rsid w:val="004F0198"/>
    <w:rsid w:val="004F6DD1"/>
    <w:rsid w:val="00500B79"/>
    <w:rsid w:val="005118A6"/>
    <w:rsid w:val="005127CD"/>
    <w:rsid w:val="00513158"/>
    <w:rsid w:val="00513657"/>
    <w:rsid w:val="0051504E"/>
    <w:rsid w:val="00521630"/>
    <w:rsid w:val="00534947"/>
    <w:rsid w:val="005401CC"/>
    <w:rsid w:val="005409CE"/>
    <w:rsid w:val="00540E7F"/>
    <w:rsid w:val="00546AE2"/>
    <w:rsid w:val="00553272"/>
    <w:rsid w:val="00554141"/>
    <w:rsid w:val="00554496"/>
    <w:rsid w:val="005566E6"/>
    <w:rsid w:val="0055682A"/>
    <w:rsid w:val="00560A1C"/>
    <w:rsid w:val="00560EAC"/>
    <w:rsid w:val="005705B4"/>
    <w:rsid w:val="00571D23"/>
    <w:rsid w:val="005749A5"/>
    <w:rsid w:val="00582B3E"/>
    <w:rsid w:val="00583C1F"/>
    <w:rsid w:val="00583FC6"/>
    <w:rsid w:val="0058652A"/>
    <w:rsid w:val="00593075"/>
    <w:rsid w:val="00595EC4"/>
    <w:rsid w:val="005A253F"/>
    <w:rsid w:val="005B2636"/>
    <w:rsid w:val="005B50F1"/>
    <w:rsid w:val="005D29DB"/>
    <w:rsid w:val="005D2ABF"/>
    <w:rsid w:val="005D4CC6"/>
    <w:rsid w:val="005E2688"/>
    <w:rsid w:val="005E5AD9"/>
    <w:rsid w:val="005E67E1"/>
    <w:rsid w:val="005F1208"/>
    <w:rsid w:val="005F6F44"/>
    <w:rsid w:val="00602F93"/>
    <w:rsid w:val="006031FB"/>
    <w:rsid w:val="00621911"/>
    <w:rsid w:val="00622CC4"/>
    <w:rsid w:val="00633DA5"/>
    <w:rsid w:val="00636E20"/>
    <w:rsid w:val="00643D78"/>
    <w:rsid w:val="0065197A"/>
    <w:rsid w:val="00661A38"/>
    <w:rsid w:val="00661CF7"/>
    <w:rsid w:val="00666EAD"/>
    <w:rsid w:val="00670B41"/>
    <w:rsid w:val="00670F74"/>
    <w:rsid w:val="00674349"/>
    <w:rsid w:val="006753D3"/>
    <w:rsid w:val="00691E7D"/>
    <w:rsid w:val="006A2B9B"/>
    <w:rsid w:val="006A3ED0"/>
    <w:rsid w:val="006A4AA0"/>
    <w:rsid w:val="006A6485"/>
    <w:rsid w:val="006A7848"/>
    <w:rsid w:val="006B5335"/>
    <w:rsid w:val="006C02BE"/>
    <w:rsid w:val="006C63D6"/>
    <w:rsid w:val="006C6A9C"/>
    <w:rsid w:val="006C73FD"/>
    <w:rsid w:val="006D263D"/>
    <w:rsid w:val="006D5283"/>
    <w:rsid w:val="006E1D61"/>
    <w:rsid w:val="006E20B9"/>
    <w:rsid w:val="006E4A6F"/>
    <w:rsid w:val="00710CFB"/>
    <w:rsid w:val="00710E1C"/>
    <w:rsid w:val="00716E09"/>
    <w:rsid w:val="00720D44"/>
    <w:rsid w:val="00737DAB"/>
    <w:rsid w:val="00747D55"/>
    <w:rsid w:val="0075184D"/>
    <w:rsid w:val="00755586"/>
    <w:rsid w:val="007565A4"/>
    <w:rsid w:val="00764933"/>
    <w:rsid w:val="00765499"/>
    <w:rsid w:val="007703D6"/>
    <w:rsid w:val="00776C3C"/>
    <w:rsid w:val="00782D89"/>
    <w:rsid w:val="00785D94"/>
    <w:rsid w:val="00794820"/>
    <w:rsid w:val="00797926"/>
    <w:rsid w:val="007A694A"/>
    <w:rsid w:val="007A7C8C"/>
    <w:rsid w:val="007B02FA"/>
    <w:rsid w:val="007B1297"/>
    <w:rsid w:val="007B159B"/>
    <w:rsid w:val="007B1F84"/>
    <w:rsid w:val="007C363E"/>
    <w:rsid w:val="007D4901"/>
    <w:rsid w:val="007D5C46"/>
    <w:rsid w:val="007D62C4"/>
    <w:rsid w:val="007D720A"/>
    <w:rsid w:val="007E209C"/>
    <w:rsid w:val="007E3377"/>
    <w:rsid w:val="007E4BBF"/>
    <w:rsid w:val="007E6229"/>
    <w:rsid w:val="007E6C6A"/>
    <w:rsid w:val="007E74EA"/>
    <w:rsid w:val="007F02EF"/>
    <w:rsid w:val="007F6956"/>
    <w:rsid w:val="008062B3"/>
    <w:rsid w:val="008128ED"/>
    <w:rsid w:val="00813F37"/>
    <w:rsid w:val="008156D0"/>
    <w:rsid w:val="00816F23"/>
    <w:rsid w:val="00817C9C"/>
    <w:rsid w:val="00825174"/>
    <w:rsid w:val="00825657"/>
    <w:rsid w:val="00826B66"/>
    <w:rsid w:val="00831414"/>
    <w:rsid w:val="00834AA6"/>
    <w:rsid w:val="00836BAB"/>
    <w:rsid w:val="00842C8A"/>
    <w:rsid w:val="008510B3"/>
    <w:rsid w:val="008540C9"/>
    <w:rsid w:val="0086089A"/>
    <w:rsid w:val="00862912"/>
    <w:rsid w:val="008636C8"/>
    <w:rsid w:val="00864048"/>
    <w:rsid w:val="00864812"/>
    <w:rsid w:val="00870F8B"/>
    <w:rsid w:val="00875C3F"/>
    <w:rsid w:val="00875E9C"/>
    <w:rsid w:val="00882321"/>
    <w:rsid w:val="00885DCB"/>
    <w:rsid w:val="00886AAF"/>
    <w:rsid w:val="00891FDC"/>
    <w:rsid w:val="00895075"/>
    <w:rsid w:val="0089700A"/>
    <w:rsid w:val="008A4337"/>
    <w:rsid w:val="008B2BEA"/>
    <w:rsid w:val="008B3762"/>
    <w:rsid w:val="008B49E8"/>
    <w:rsid w:val="008B7CB7"/>
    <w:rsid w:val="008B7EE4"/>
    <w:rsid w:val="008C25ED"/>
    <w:rsid w:val="008C34F8"/>
    <w:rsid w:val="008C4D6E"/>
    <w:rsid w:val="008C56A2"/>
    <w:rsid w:val="008D2727"/>
    <w:rsid w:val="008D4FF1"/>
    <w:rsid w:val="008D5AFA"/>
    <w:rsid w:val="008D7B0A"/>
    <w:rsid w:val="008F4F2B"/>
    <w:rsid w:val="008F70C1"/>
    <w:rsid w:val="00902ADF"/>
    <w:rsid w:val="009042FA"/>
    <w:rsid w:val="0090667C"/>
    <w:rsid w:val="00913C3F"/>
    <w:rsid w:val="00920AF0"/>
    <w:rsid w:val="00923F83"/>
    <w:rsid w:val="00926DB2"/>
    <w:rsid w:val="00927A31"/>
    <w:rsid w:val="00931034"/>
    <w:rsid w:val="00932CA8"/>
    <w:rsid w:val="0093700A"/>
    <w:rsid w:val="0093708D"/>
    <w:rsid w:val="00942BC9"/>
    <w:rsid w:val="0094370D"/>
    <w:rsid w:val="00944DF3"/>
    <w:rsid w:val="00950546"/>
    <w:rsid w:val="00952D7D"/>
    <w:rsid w:val="00955D01"/>
    <w:rsid w:val="00957D88"/>
    <w:rsid w:val="00964B1D"/>
    <w:rsid w:val="00965F56"/>
    <w:rsid w:val="009711E1"/>
    <w:rsid w:val="00987A60"/>
    <w:rsid w:val="00997076"/>
    <w:rsid w:val="009B214E"/>
    <w:rsid w:val="009B25FF"/>
    <w:rsid w:val="009C2701"/>
    <w:rsid w:val="009C5D37"/>
    <w:rsid w:val="009D42B7"/>
    <w:rsid w:val="009D78D8"/>
    <w:rsid w:val="009E3701"/>
    <w:rsid w:val="00A00D3C"/>
    <w:rsid w:val="00A01609"/>
    <w:rsid w:val="00A07AA4"/>
    <w:rsid w:val="00A07FE4"/>
    <w:rsid w:val="00A16712"/>
    <w:rsid w:val="00A22B8E"/>
    <w:rsid w:val="00A23D87"/>
    <w:rsid w:val="00A255E1"/>
    <w:rsid w:val="00A31ADF"/>
    <w:rsid w:val="00A3253B"/>
    <w:rsid w:val="00A34097"/>
    <w:rsid w:val="00A37C8B"/>
    <w:rsid w:val="00A419B4"/>
    <w:rsid w:val="00A42E20"/>
    <w:rsid w:val="00A44F5E"/>
    <w:rsid w:val="00A454AB"/>
    <w:rsid w:val="00A4620E"/>
    <w:rsid w:val="00A607EF"/>
    <w:rsid w:val="00A62A48"/>
    <w:rsid w:val="00A62EC7"/>
    <w:rsid w:val="00A63259"/>
    <w:rsid w:val="00A754DE"/>
    <w:rsid w:val="00A7625F"/>
    <w:rsid w:val="00A84CD2"/>
    <w:rsid w:val="00A86A43"/>
    <w:rsid w:val="00A87034"/>
    <w:rsid w:val="00AC54CE"/>
    <w:rsid w:val="00AC6001"/>
    <w:rsid w:val="00AC6DEA"/>
    <w:rsid w:val="00AC73C1"/>
    <w:rsid w:val="00AD123A"/>
    <w:rsid w:val="00AD1823"/>
    <w:rsid w:val="00AD1F0C"/>
    <w:rsid w:val="00AD212B"/>
    <w:rsid w:val="00AD4208"/>
    <w:rsid w:val="00AD762A"/>
    <w:rsid w:val="00AD7B27"/>
    <w:rsid w:val="00AE3693"/>
    <w:rsid w:val="00AE6876"/>
    <w:rsid w:val="00AF057F"/>
    <w:rsid w:val="00AF0940"/>
    <w:rsid w:val="00AF26DD"/>
    <w:rsid w:val="00AF6302"/>
    <w:rsid w:val="00AF7D04"/>
    <w:rsid w:val="00B2078C"/>
    <w:rsid w:val="00B225FB"/>
    <w:rsid w:val="00B2727C"/>
    <w:rsid w:val="00B36098"/>
    <w:rsid w:val="00B36232"/>
    <w:rsid w:val="00B43A99"/>
    <w:rsid w:val="00B477CA"/>
    <w:rsid w:val="00B52DDE"/>
    <w:rsid w:val="00B62E38"/>
    <w:rsid w:val="00B62F04"/>
    <w:rsid w:val="00B66C42"/>
    <w:rsid w:val="00B7502B"/>
    <w:rsid w:val="00B84ADD"/>
    <w:rsid w:val="00B87672"/>
    <w:rsid w:val="00B93449"/>
    <w:rsid w:val="00B95BCA"/>
    <w:rsid w:val="00BB5F4A"/>
    <w:rsid w:val="00BB6FEB"/>
    <w:rsid w:val="00BC1507"/>
    <w:rsid w:val="00BC1A25"/>
    <w:rsid w:val="00BC2402"/>
    <w:rsid w:val="00BC44AF"/>
    <w:rsid w:val="00BC691B"/>
    <w:rsid w:val="00BC6B75"/>
    <w:rsid w:val="00BD1671"/>
    <w:rsid w:val="00BD43EE"/>
    <w:rsid w:val="00BD467C"/>
    <w:rsid w:val="00BE1512"/>
    <w:rsid w:val="00BE2201"/>
    <w:rsid w:val="00BE2418"/>
    <w:rsid w:val="00BE7A73"/>
    <w:rsid w:val="00BF40F1"/>
    <w:rsid w:val="00BF531A"/>
    <w:rsid w:val="00C05D18"/>
    <w:rsid w:val="00C0606A"/>
    <w:rsid w:val="00C070A6"/>
    <w:rsid w:val="00C120CE"/>
    <w:rsid w:val="00C1562F"/>
    <w:rsid w:val="00C16410"/>
    <w:rsid w:val="00C23C4C"/>
    <w:rsid w:val="00C252A2"/>
    <w:rsid w:val="00C33F7A"/>
    <w:rsid w:val="00C43407"/>
    <w:rsid w:val="00C45B95"/>
    <w:rsid w:val="00C53740"/>
    <w:rsid w:val="00C704FC"/>
    <w:rsid w:val="00C821E4"/>
    <w:rsid w:val="00C8406A"/>
    <w:rsid w:val="00C86DB4"/>
    <w:rsid w:val="00C9133B"/>
    <w:rsid w:val="00C92AE3"/>
    <w:rsid w:val="00C96D8F"/>
    <w:rsid w:val="00CB7CE4"/>
    <w:rsid w:val="00CC2701"/>
    <w:rsid w:val="00CD574B"/>
    <w:rsid w:val="00CD71D6"/>
    <w:rsid w:val="00CE0C5A"/>
    <w:rsid w:val="00CE7DB4"/>
    <w:rsid w:val="00CF3EDF"/>
    <w:rsid w:val="00CF6C92"/>
    <w:rsid w:val="00D0022F"/>
    <w:rsid w:val="00D0506B"/>
    <w:rsid w:val="00D05F95"/>
    <w:rsid w:val="00D1018A"/>
    <w:rsid w:val="00D13C4D"/>
    <w:rsid w:val="00D17D61"/>
    <w:rsid w:val="00D21866"/>
    <w:rsid w:val="00D378A2"/>
    <w:rsid w:val="00D37E1B"/>
    <w:rsid w:val="00D4408D"/>
    <w:rsid w:val="00D51D7F"/>
    <w:rsid w:val="00D52E4A"/>
    <w:rsid w:val="00D6010C"/>
    <w:rsid w:val="00D6177B"/>
    <w:rsid w:val="00D62FAD"/>
    <w:rsid w:val="00D636CC"/>
    <w:rsid w:val="00D738EB"/>
    <w:rsid w:val="00D7577B"/>
    <w:rsid w:val="00D80C22"/>
    <w:rsid w:val="00D847D5"/>
    <w:rsid w:val="00D90F04"/>
    <w:rsid w:val="00D96B97"/>
    <w:rsid w:val="00DA1A68"/>
    <w:rsid w:val="00DA7328"/>
    <w:rsid w:val="00DB09DE"/>
    <w:rsid w:val="00DC0F1F"/>
    <w:rsid w:val="00DC4F0D"/>
    <w:rsid w:val="00DC591A"/>
    <w:rsid w:val="00DC7D70"/>
    <w:rsid w:val="00DD3B89"/>
    <w:rsid w:val="00DD7E40"/>
    <w:rsid w:val="00DE1234"/>
    <w:rsid w:val="00E064B9"/>
    <w:rsid w:val="00E1433A"/>
    <w:rsid w:val="00E23999"/>
    <w:rsid w:val="00E27162"/>
    <w:rsid w:val="00E31AD0"/>
    <w:rsid w:val="00E42E69"/>
    <w:rsid w:val="00E43B47"/>
    <w:rsid w:val="00E449A5"/>
    <w:rsid w:val="00E55250"/>
    <w:rsid w:val="00E64809"/>
    <w:rsid w:val="00E7128A"/>
    <w:rsid w:val="00E7287E"/>
    <w:rsid w:val="00E73CE1"/>
    <w:rsid w:val="00E777EE"/>
    <w:rsid w:val="00E837B2"/>
    <w:rsid w:val="00E84D7C"/>
    <w:rsid w:val="00E9003F"/>
    <w:rsid w:val="00E97E82"/>
    <w:rsid w:val="00EA7A28"/>
    <w:rsid w:val="00EB01E0"/>
    <w:rsid w:val="00EB28EE"/>
    <w:rsid w:val="00EB2C5F"/>
    <w:rsid w:val="00EB4980"/>
    <w:rsid w:val="00EB4EA0"/>
    <w:rsid w:val="00EB699D"/>
    <w:rsid w:val="00EC027C"/>
    <w:rsid w:val="00EC119C"/>
    <w:rsid w:val="00ED035C"/>
    <w:rsid w:val="00ED4142"/>
    <w:rsid w:val="00EE1A75"/>
    <w:rsid w:val="00EE58D9"/>
    <w:rsid w:val="00EF2F96"/>
    <w:rsid w:val="00EF43D4"/>
    <w:rsid w:val="00F059C3"/>
    <w:rsid w:val="00F079D3"/>
    <w:rsid w:val="00F15DB0"/>
    <w:rsid w:val="00F17D0B"/>
    <w:rsid w:val="00F2607E"/>
    <w:rsid w:val="00F2622F"/>
    <w:rsid w:val="00F3505E"/>
    <w:rsid w:val="00F3562F"/>
    <w:rsid w:val="00F412FC"/>
    <w:rsid w:val="00F43473"/>
    <w:rsid w:val="00F45340"/>
    <w:rsid w:val="00F47794"/>
    <w:rsid w:val="00F50F2B"/>
    <w:rsid w:val="00F50FAF"/>
    <w:rsid w:val="00F5196D"/>
    <w:rsid w:val="00F544C7"/>
    <w:rsid w:val="00F76ED8"/>
    <w:rsid w:val="00F773A7"/>
    <w:rsid w:val="00F93CE1"/>
    <w:rsid w:val="00FA0C94"/>
    <w:rsid w:val="00FA0E55"/>
    <w:rsid w:val="00FA46A3"/>
    <w:rsid w:val="00FA4F58"/>
    <w:rsid w:val="00FA6387"/>
    <w:rsid w:val="00FA7BFE"/>
    <w:rsid w:val="00FC19EE"/>
    <w:rsid w:val="00FD5DB0"/>
    <w:rsid w:val="00FE2BCC"/>
    <w:rsid w:val="00FE6DAE"/>
    <w:rsid w:val="00FE7169"/>
    <w:rsid w:val="00FF363C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01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DB0"/>
    <w:rPr>
      <w:sz w:val="18"/>
      <w:szCs w:val="18"/>
    </w:rPr>
  </w:style>
  <w:style w:type="paragraph" w:styleId="a5">
    <w:name w:val="List Paragraph"/>
    <w:basedOn w:val="a"/>
    <w:uiPriority w:val="34"/>
    <w:qFormat/>
    <w:rsid w:val="00927A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D76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762A"/>
    <w:rPr>
      <w:sz w:val="18"/>
      <w:szCs w:val="18"/>
    </w:rPr>
  </w:style>
  <w:style w:type="paragraph" w:styleId="a7">
    <w:name w:val="Revision"/>
    <w:hidden/>
    <w:uiPriority w:val="99"/>
    <w:semiHidden/>
    <w:rsid w:val="00DA1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DB0"/>
    <w:rPr>
      <w:sz w:val="18"/>
      <w:szCs w:val="18"/>
    </w:rPr>
  </w:style>
  <w:style w:type="paragraph" w:styleId="a5">
    <w:name w:val="List Paragraph"/>
    <w:basedOn w:val="a"/>
    <w:uiPriority w:val="34"/>
    <w:qFormat/>
    <w:rsid w:val="00927A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D76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762A"/>
    <w:rPr>
      <w:sz w:val="18"/>
      <w:szCs w:val="18"/>
    </w:rPr>
  </w:style>
  <w:style w:type="paragraph" w:styleId="a7">
    <w:name w:val="Revision"/>
    <w:hidden/>
    <w:uiPriority w:val="99"/>
    <w:semiHidden/>
    <w:rsid w:val="00DA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1B2B-20EF-471D-AFF7-E53247D4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588</Words>
  <Characters>3358</Characters>
  <Application>Microsoft Office Word</Application>
  <DocSecurity>0</DocSecurity>
  <Lines>27</Lines>
  <Paragraphs>7</Paragraphs>
  <ScaleCrop>false</ScaleCrop>
  <Company>Microsoft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万雅琪</dc:creator>
  <cp:lastModifiedBy>admin</cp:lastModifiedBy>
  <cp:revision>8</cp:revision>
  <cp:lastPrinted>2023-08-16T07:40:00Z</cp:lastPrinted>
  <dcterms:created xsi:type="dcterms:W3CDTF">2023-08-16T07:08:00Z</dcterms:created>
  <dcterms:modified xsi:type="dcterms:W3CDTF">2023-08-17T08:06:00Z</dcterms:modified>
</cp:coreProperties>
</file>