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hint="eastAsia" w:ascii="方正小标宋简体" w:eastAsia="方正小标宋简体"/>
          <w:sz w:val="52"/>
          <w:szCs w:val="52"/>
          <w:lang w:val="en-US" w:eastAsia="zh-CN"/>
        </w:rPr>
      </w:pPr>
    </w:p>
    <w:p>
      <w:pPr>
        <w:adjustRightInd w:val="0"/>
        <w:snapToGrid w:val="0"/>
        <w:spacing w:line="620" w:lineRule="exact"/>
        <w:jc w:val="center"/>
        <w:rPr>
          <w:rFonts w:hint="eastAsia" w:ascii="方正小标宋简体" w:eastAsia="方正小标宋简体"/>
          <w:sz w:val="52"/>
          <w:szCs w:val="52"/>
          <w:lang w:val="en-US" w:eastAsia="zh-CN"/>
        </w:rPr>
      </w:pPr>
    </w:p>
    <w:p>
      <w:pPr>
        <w:adjustRightInd w:val="0"/>
        <w:snapToGrid w:val="0"/>
        <w:spacing w:line="620" w:lineRule="exact"/>
        <w:jc w:val="center"/>
        <w:rPr>
          <w:rFonts w:hint="eastAsia" w:ascii="方正小标宋简体" w:eastAsia="方正小标宋简体"/>
          <w:sz w:val="56"/>
          <w:szCs w:val="56"/>
          <w:lang w:val="en-US" w:eastAsia="zh-CN"/>
        </w:rPr>
      </w:pPr>
    </w:p>
    <w:p>
      <w:pPr>
        <w:adjustRightInd w:val="0"/>
        <w:snapToGrid w:val="0"/>
        <w:spacing w:line="620" w:lineRule="exact"/>
        <w:jc w:val="center"/>
        <w:rPr>
          <w:rFonts w:hint="eastAsia" w:ascii="方正小标宋简体" w:eastAsia="方正小标宋简体"/>
          <w:sz w:val="56"/>
          <w:szCs w:val="56"/>
          <w:lang w:val="en-US" w:eastAsia="zh-CN"/>
        </w:rPr>
      </w:pPr>
      <w:r>
        <w:rPr>
          <w:rFonts w:hint="eastAsia" w:ascii="方正小标宋简体" w:eastAsia="方正小标宋简体"/>
          <w:sz w:val="56"/>
          <w:szCs w:val="56"/>
          <w:lang w:val="en-US" w:eastAsia="zh-CN"/>
        </w:rPr>
        <w:t>中新天津生态城特种设备事故</w:t>
      </w:r>
    </w:p>
    <w:p>
      <w:pPr>
        <w:adjustRightInd w:val="0"/>
        <w:snapToGrid w:val="0"/>
        <w:spacing w:line="620" w:lineRule="exact"/>
        <w:jc w:val="center"/>
        <w:rPr>
          <w:rFonts w:hint="eastAsia" w:ascii="方正小标宋简体" w:eastAsia="方正小标宋简体"/>
          <w:sz w:val="56"/>
          <w:szCs w:val="56"/>
          <w:lang w:val="en-US" w:eastAsia="zh-CN"/>
        </w:rPr>
      </w:pPr>
    </w:p>
    <w:p>
      <w:pPr>
        <w:adjustRightInd w:val="0"/>
        <w:snapToGrid w:val="0"/>
        <w:spacing w:line="620" w:lineRule="exact"/>
        <w:jc w:val="center"/>
        <w:rPr>
          <w:rFonts w:hint="eastAsia" w:ascii="方正小标宋简体" w:eastAsia="方正小标宋简体"/>
          <w:sz w:val="56"/>
          <w:szCs w:val="56"/>
          <w:lang w:val="en-US" w:eastAsia="zh-CN"/>
        </w:rPr>
      </w:pPr>
      <w:r>
        <w:rPr>
          <w:rFonts w:hint="eastAsia" w:ascii="方正小标宋简体" w:eastAsia="方正小标宋简体"/>
          <w:sz w:val="56"/>
          <w:szCs w:val="56"/>
          <w:lang w:val="en-US" w:eastAsia="zh-CN"/>
        </w:rPr>
        <w:t>应急预案</w:t>
      </w:r>
    </w:p>
    <w:p>
      <w:pPr>
        <w:adjustRightInd w:val="0"/>
        <w:snapToGrid w:val="0"/>
        <w:spacing w:line="620" w:lineRule="exact"/>
        <w:jc w:val="center"/>
        <w:rPr>
          <w:rFonts w:hint="eastAsia" w:ascii="方正小标宋简体" w:eastAsia="方正小标宋简体"/>
          <w:sz w:val="56"/>
          <w:szCs w:val="56"/>
          <w:lang w:val="en-US" w:eastAsia="zh-CN"/>
        </w:rPr>
      </w:pPr>
    </w:p>
    <w:p>
      <w:pPr>
        <w:adjustRightInd w:val="0"/>
        <w:snapToGrid w:val="0"/>
        <w:spacing w:line="620" w:lineRule="exact"/>
        <w:jc w:val="center"/>
        <w:rPr>
          <w:rFonts w:hint="eastAsia" w:ascii="楷体_GB2312" w:hAnsi="楷体_GB2312" w:eastAsia="楷体_GB2312" w:cs="楷体_GB2312"/>
          <w:sz w:val="52"/>
          <w:szCs w:val="52"/>
          <w:lang w:val="en-US" w:eastAsia="zh-CN"/>
        </w:rPr>
      </w:pPr>
    </w:p>
    <w:p>
      <w:pPr>
        <w:adjustRightInd w:val="0"/>
        <w:snapToGrid w:val="0"/>
        <w:spacing w:line="620" w:lineRule="exact"/>
        <w:jc w:val="center"/>
        <w:rPr>
          <w:rFonts w:hint="eastAsia" w:ascii="楷体_GB2312" w:hAnsi="楷体_GB2312" w:eastAsia="楷体_GB2312" w:cs="楷体_GB2312"/>
          <w:sz w:val="52"/>
          <w:szCs w:val="52"/>
          <w:lang w:val="en-US" w:eastAsia="zh-CN"/>
        </w:rPr>
      </w:pPr>
    </w:p>
    <w:p>
      <w:pPr>
        <w:adjustRightInd w:val="0"/>
        <w:snapToGrid w:val="0"/>
        <w:spacing w:line="620" w:lineRule="exact"/>
        <w:jc w:val="center"/>
        <w:rPr>
          <w:rFonts w:hint="eastAsia" w:ascii="楷体_GB2312" w:hAnsi="楷体_GB2312" w:eastAsia="楷体_GB2312" w:cs="楷体_GB2312"/>
          <w:sz w:val="52"/>
          <w:szCs w:val="52"/>
          <w:lang w:val="en-US" w:eastAsia="zh-CN"/>
        </w:rPr>
      </w:pPr>
    </w:p>
    <w:p>
      <w:pPr>
        <w:adjustRightInd w:val="0"/>
        <w:snapToGrid w:val="0"/>
        <w:spacing w:line="620" w:lineRule="exact"/>
        <w:jc w:val="center"/>
        <w:rPr>
          <w:rFonts w:hint="eastAsia" w:ascii="楷体_GB2312" w:hAnsi="楷体_GB2312" w:eastAsia="楷体_GB2312" w:cs="楷体_GB2312"/>
          <w:sz w:val="52"/>
          <w:szCs w:val="52"/>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pPr>
    </w:p>
    <w:p>
      <w:pPr>
        <w:adjustRightInd w:val="0"/>
        <w:snapToGrid w:val="0"/>
        <w:spacing w:line="620" w:lineRule="exact"/>
        <w:ind w:left="1477" w:leftChars="494" w:hanging="440" w:hangingChars="100"/>
        <w:jc w:val="center"/>
        <w:rPr>
          <w:rFonts w:hint="default" w:ascii="楷体_GB2312" w:hAnsi="楷体_GB2312" w:eastAsia="楷体_GB2312" w:cs="楷体_GB2312"/>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楷体_GB2312" w:hAnsi="楷体_GB2312" w:eastAsia="楷体_GB2312" w:cs="楷体_GB2312"/>
          <w:sz w:val="44"/>
          <w:szCs w:val="44"/>
          <w:lang w:val="en-US" w:eastAsia="zh-CN"/>
        </w:rPr>
        <w:t>编制：中新天津生态城</w:t>
      </w:r>
      <w:r>
        <w:rPr>
          <w:rFonts w:hint="eastAsia" w:ascii="楷体_GB2312" w:hAnsi="楷体_GB2312" w:eastAsia="楷体_GB2312" w:cs="楷体_GB2312"/>
          <w:sz w:val="44"/>
          <w:szCs w:val="44"/>
          <w:lang w:val="en-US" w:eastAsia="zh-CN"/>
        </w:rPr>
        <w:t>管理委员会</w:t>
      </w:r>
      <w:bookmarkStart w:id="44" w:name="_GoBack"/>
      <w:bookmarkEnd w:id="44"/>
      <w:r>
        <w:rPr>
          <w:rFonts w:hint="default" w:ascii="楷体_GB2312" w:hAnsi="楷体_GB2312" w:eastAsia="楷体_GB2312" w:cs="楷体_GB2312"/>
          <w:sz w:val="44"/>
          <w:szCs w:val="44"/>
          <w:lang w:val="en-US" w:eastAsia="zh-CN"/>
        </w:rPr>
        <w:t>202</w:t>
      </w:r>
      <w:r>
        <w:rPr>
          <w:rFonts w:hint="eastAsia" w:ascii="楷体_GB2312" w:hAnsi="楷体_GB2312" w:eastAsia="楷体_GB2312" w:cs="楷体_GB2312"/>
          <w:sz w:val="44"/>
          <w:szCs w:val="44"/>
          <w:lang w:val="en-US" w:eastAsia="zh-CN"/>
        </w:rPr>
        <w:t>2</w:t>
      </w:r>
      <w:r>
        <w:rPr>
          <w:rFonts w:hint="default" w:ascii="楷体_GB2312" w:hAnsi="楷体_GB2312" w:eastAsia="楷体_GB2312" w:cs="楷体_GB2312"/>
          <w:sz w:val="44"/>
          <w:szCs w:val="44"/>
          <w:lang w:val="en-US" w:eastAsia="zh-CN"/>
        </w:rPr>
        <w:t>年</w:t>
      </w:r>
      <w:r>
        <w:rPr>
          <w:rFonts w:hint="default" w:ascii="楷体_GB2312" w:hAnsi="楷体_GB2312" w:eastAsia="楷体_GB2312" w:cs="楷体_GB2312"/>
          <w:sz w:val="44"/>
          <w:szCs w:val="44"/>
          <w:lang w:val="en" w:eastAsia="zh-CN"/>
        </w:rPr>
        <w:t>11</w:t>
      </w:r>
      <w:r>
        <w:rPr>
          <w:rFonts w:hint="default" w:ascii="楷体_GB2312" w:hAnsi="楷体_GB2312" w:eastAsia="楷体_GB2312" w:cs="楷体_GB2312"/>
          <w:sz w:val="44"/>
          <w:szCs w:val="44"/>
          <w:lang w:val="en-US" w:eastAsia="zh-CN"/>
        </w:rPr>
        <w:t>月</w:t>
      </w:r>
    </w:p>
    <w:p>
      <w:pPr>
        <w:adjustRightInd w:val="0"/>
        <w:snapToGrid w:val="0"/>
        <w:spacing w:line="620" w:lineRule="exact"/>
        <w:jc w:val="center"/>
        <w:rPr>
          <w:rFonts w:ascii="方正小标宋简体" w:eastAsia="方正小标宋简体"/>
          <w:sz w:val="44"/>
          <w:szCs w:val="44"/>
        </w:rPr>
      </w:pPr>
      <w:r>
        <w:rPr>
          <w:rFonts w:hint="eastAsia" w:ascii="方正小标宋简体" w:eastAsia="方正小标宋简体"/>
          <w:sz w:val="44"/>
          <w:szCs w:val="44"/>
        </w:rPr>
        <w:t>中新天津生态城特种设备事故应急预案</w:t>
      </w:r>
    </w:p>
    <w:p>
      <w:pPr>
        <w:pStyle w:val="8"/>
        <w:tabs>
          <w:tab w:val="right" w:leader="dot" w:pos="8296"/>
        </w:tabs>
        <w:rPr>
          <w:rFonts w:ascii="仿宋_GB2312" w:eastAsia="仿宋_GB2312"/>
          <w:sz w:val="32"/>
          <w:szCs w:val="32"/>
        </w:rPr>
      </w:pPr>
    </w:p>
    <w:p>
      <w:pPr>
        <w:pStyle w:val="8"/>
        <w:tabs>
          <w:tab w:val="right" w:leader="dot" w:pos="8306"/>
        </w:tabs>
      </w:pPr>
      <w:r>
        <w:rPr>
          <w:rFonts w:ascii="方正小标宋简体" w:eastAsia="方正小标宋简体"/>
          <w:sz w:val="44"/>
          <w:szCs w:val="44"/>
        </w:rPr>
        <w:fldChar w:fldCharType="begin"/>
      </w:r>
      <w:r>
        <w:rPr>
          <w:rFonts w:ascii="方正小标宋简体" w:eastAsia="方正小标宋简体"/>
          <w:sz w:val="44"/>
          <w:szCs w:val="44"/>
        </w:rPr>
        <w:instrText xml:space="preserve"> </w:instrText>
      </w:r>
      <w:r>
        <w:rPr>
          <w:rFonts w:hint="eastAsia" w:ascii="方正小标宋简体" w:eastAsia="方正小标宋简体"/>
          <w:sz w:val="44"/>
          <w:szCs w:val="44"/>
        </w:rPr>
        <w:instrText xml:space="preserve">TOC \o "1-3" \h \z \u</w:instrText>
      </w:r>
      <w:r>
        <w:rPr>
          <w:rFonts w:ascii="方正小标宋简体" w:eastAsia="方正小标宋简体"/>
          <w:sz w:val="44"/>
          <w:szCs w:val="44"/>
        </w:rPr>
        <w:instrText xml:space="preserve"> </w:instrText>
      </w:r>
      <w:r>
        <w:rPr>
          <w:rFonts w:ascii="方正小标宋简体" w:eastAsia="方正小标宋简体"/>
          <w:sz w:val="44"/>
          <w:szCs w:val="44"/>
        </w:rPr>
        <w:fldChar w:fldCharType="separate"/>
      </w:r>
      <w:r>
        <w:rPr>
          <w:rFonts w:ascii="方正小标宋简体" w:eastAsia="方正小标宋简体"/>
          <w:szCs w:val="44"/>
        </w:rPr>
        <w:fldChar w:fldCharType="begin"/>
      </w:r>
      <w:r>
        <w:rPr>
          <w:rFonts w:ascii="方正小标宋简体" w:eastAsia="方正小标宋简体"/>
          <w:szCs w:val="44"/>
        </w:rPr>
        <w:instrText xml:space="preserve"> HYPERLINK \l _Toc13927 </w:instrText>
      </w:r>
      <w:r>
        <w:rPr>
          <w:rFonts w:ascii="方正小标宋简体" w:eastAsia="方正小标宋简体"/>
          <w:szCs w:val="44"/>
        </w:rPr>
        <w:fldChar w:fldCharType="separate"/>
      </w:r>
      <w:r>
        <w:rPr>
          <w:rFonts w:hint="eastAsia" w:ascii="黑体" w:hAnsi="黑体" w:eastAsia="黑体"/>
          <w:szCs w:val="32"/>
        </w:rPr>
        <w:t>1 总则</w:t>
      </w:r>
      <w:r>
        <w:tab/>
      </w:r>
      <w:r>
        <w:fldChar w:fldCharType="begin"/>
      </w:r>
      <w:r>
        <w:instrText xml:space="preserve"> PAGEREF _Toc13927 \h </w:instrText>
      </w:r>
      <w:r>
        <w:fldChar w:fldCharType="separate"/>
      </w:r>
      <w:r>
        <w:t>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_Toc7467 </w:instrText>
      </w:r>
      <w:r>
        <w:rPr>
          <w:rFonts w:ascii="方正小标宋简体" w:eastAsia="方正小标宋简体"/>
          <w:szCs w:val="44"/>
        </w:rPr>
        <w:fldChar w:fldCharType="separate"/>
      </w:r>
      <w:r>
        <w:rPr>
          <w:rFonts w:hint="eastAsia" w:ascii="楷体_GB2312" w:hAnsi="楷体_GB2312" w:eastAsia="楷体_GB2312" w:cs="楷体_GB2312"/>
        </w:rPr>
        <w:t>1.1 编制目的</w:t>
      </w:r>
      <w:r>
        <w:tab/>
      </w:r>
      <w:r>
        <w:fldChar w:fldCharType="begin"/>
      </w:r>
      <w:r>
        <w:instrText xml:space="preserve"> PAGEREF _Toc7467 \h </w:instrText>
      </w:r>
      <w:r>
        <w:fldChar w:fldCharType="separate"/>
      </w:r>
      <w:r>
        <w:t>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_Toc31611 </w:instrText>
      </w:r>
      <w:r>
        <w:rPr>
          <w:rFonts w:ascii="方正小标宋简体" w:eastAsia="方正小标宋简体"/>
          <w:szCs w:val="44"/>
        </w:rPr>
        <w:fldChar w:fldCharType="separate"/>
      </w:r>
      <w:r>
        <w:rPr>
          <w:rFonts w:hint="eastAsia" w:ascii="楷体_GB2312" w:hAnsi="楷体_GB2312" w:eastAsia="楷体_GB2312" w:cs="楷体_GB2312"/>
        </w:rPr>
        <w:t>1.2 编制依据</w:t>
      </w:r>
      <w:r>
        <w:tab/>
      </w:r>
      <w:r>
        <w:fldChar w:fldCharType="begin"/>
      </w:r>
      <w:r>
        <w:instrText xml:space="preserve"> PAGEREF _Toc31611 \h </w:instrText>
      </w:r>
      <w:r>
        <w:fldChar w:fldCharType="separate"/>
      </w:r>
      <w:r>
        <w:t>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_Toc32420 </w:instrText>
      </w:r>
      <w:r>
        <w:rPr>
          <w:rFonts w:ascii="方正小标宋简体" w:eastAsia="方正小标宋简体"/>
          <w:szCs w:val="44"/>
        </w:rPr>
        <w:fldChar w:fldCharType="separate"/>
      </w:r>
      <w:r>
        <w:rPr>
          <w:rFonts w:hint="eastAsia" w:ascii="楷体_GB2312" w:hAnsi="楷体_GB2312" w:eastAsia="楷体_GB2312" w:cs="楷体_GB2312"/>
        </w:rPr>
        <w:t>1.3 事故分级</w:t>
      </w:r>
      <w:r>
        <w:tab/>
      </w:r>
      <w:r>
        <w:fldChar w:fldCharType="begin"/>
      </w:r>
      <w:r>
        <w:instrText xml:space="preserve"> PAGEREF _Toc32420 \h </w:instrText>
      </w:r>
      <w:r>
        <w:fldChar w:fldCharType="separate"/>
      </w:r>
      <w:r>
        <w:t>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_Toc22796 </w:instrText>
      </w:r>
      <w:r>
        <w:rPr>
          <w:rFonts w:ascii="方正小标宋简体" w:eastAsia="方正小标宋简体"/>
          <w:szCs w:val="44"/>
        </w:rPr>
        <w:fldChar w:fldCharType="separate"/>
      </w:r>
      <w:r>
        <w:rPr>
          <w:rFonts w:hint="eastAsia" w:ascii="楷体_GB2312" w:hAnsi="楷体_GB2312" w:eastAsia="楷体_GB2312" w:cs="楷体_GB2312"/>
        </w:rPr>
        <w:t>1.4 适用范围</w:t>
      </w:r>
      <w:r>
        <w:tab/>
      </w:r>
      <w:r>
        <w:fldChar w:fldCharType="begin"/>
      </w:r>
      <w:r>
        <w:instrText xml:space="preserve"> PAGEREF _Toc22796 \h </w:instrText>
      </w:r>
      <w:r>
        <w:fldChar w:fldCharType="separate"/>
      </w:r>
      <w:r>
        <w:t>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_Toc9117 </w:instrText>
      </w:r>
      <w:r>
        <w:rPr>
          <w:rFonts w:ascii="方正小标宋简体" w:eastAsia="方正小标宋简体"/>
          <w:szCs w:val="44"/>
        </w:rPr>
        <w:fldChar w:fldCharType="separate"/>
      </w:r>
      <w:r>
        <w:rPr>
          <w:rFonts w:hint="eastAsia" w:ascii="楷体_GB2312" w:hAnsi="楷体_GB2312" w:eastAsia="楷体_GB2312" w:cs="楷体_GB2312"/>
        </w:rPr>
        <w:t>1.5 工作原则</w:t>
      </w:r>
      <w:r>
        <w:tab/>
      </w:r>
      <w:r>
        <w:fldChar w:fldCharType="begin"/>
      </w:r>
      <w:r>
        <w:instrText xml:space="preserve"> PAGEREF _Toc9117 \h </w:instrText>
      </w:r>
      <w:r>
        <w:fldChar w:fldCharType="separate"/>
      </w:r>
      <w:r>
        <w:t>2</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_Toc26176 </w:instrText>
      </w:r>
      <w:r>
        <w:rPr>
          <w:rFonts w:ascii="方正小标宋简体" w:eastAsia="方正小标宋简体"/>
          <w:szCs w:val="44"/>
        </w:rPr>
        <w:fldChar w:fldCharType="separate"/>
      </w:r>
      <w:r>
        <w:rPr>
          <w:rFonts w:hint="eastAsia" w:ascii="黑体" w:hAnsi="黑体" w:eastAsia="黑体"/>
          <w:szCs w:val="32"/>
        </w:rPr>
        <w:t>2 组织体系</w:t>
      </w:r>
      <w:r>
        <w:tab/>
      </w:r>
      <w:r>
        <w:fldChar w:fldCharType="begin"/>
      </w:r>
      <w:r>
        <w:instrText xml:space="preserve"> PAGEREF _Toc26176 \h </w:instrText>
      </w:r>
      <w:r>
        <w:fldChar w:fldCharType="separate"/>
      </w:r>
      <w:r>
        <w:t>2</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_Toc26688 </w:instrText>
      </w:r>
      <w:r>
        <w:rPr>
          <w:rFonts w:ascii="方正小标宋简体" w:eastAsia="方正小标宋简体"/>
          <w:szCs w:val="44"/>
        </w:rPr>
        <w:fldChar w:fldCharType="separate"/>
      </w:r>
      <w:r>
        <w:rPr>
          <w:rFonts w:hint="eastAsia" w:ascii="楷体_GB2312" w:hAnsi="楷体_GB2312" w:eastAsia="楷体_GB2312" w:cs="楷体_GB2312"/>
        </w:rPr>
        <w:t xml:space="preserve">2.1 </w:t>
      </w:r>
      <w:r>
        <w:rPr>
          <w:rFonts w:hint="eastAsia" w:ascii="楷体_GB2312" w:hAnsi="楷体_GB2312" w:eastAsia="楷体_GB2312" w:cs="楷体_GB2312"/>
          <w:lang w:val="en-US" w:eastAsia="zh-CN"/>
        </w:rPr>
        <w:t>指挥</w:t>
      </w:r>
      <w:r>
        <w:rPr>
          <w:rFonts w:hint="eastAsia" w:ascii="楷体_GB2312" w:hAnsi="楷体_GB2312" w:eastAsia="楷体_GB2312" w:cs="楷体_GB2312"/>
        </w:rPr>
        <w:t>机构</w:t>
      </w:r>
      <w:r>
        <w:tab/>
      </w:r>
      <w:r>
        <w:fldChar w:fldCharType="begin"/>
      </w:r>
      <w:r>
        <w:instrText xml:space="preserve"> PAGEREF _Toc26688 \h </w:instrText>
      </w:r>
      <w:r>
        <w:fldChar w:fldCharType="separate"/>
      </w:r>
      <w:r>
        <w:t>3</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_Toc12725 </w:instrText>
      </w:r>
      <w:r>
        <w:rPr>
          <w:rFonts w:ascii="方正小标宋简体" w:eastAsia="方正小标宋简体"/>
          <w:szCs w:val="44"/>
        </w:rPr>
        <w:fldChar w:fldCharType="separate"/>
      </w:r>
      <w:r>
        <w:rPr>
          <w:rFonts w:hint="eastAsia" w:ascii="楷体_GB2312" w:hAnsi="楷体_GB2312" w:eastAsia="楷体_GB2312" w:cs="楷体_GB2312"/>
        </w:rPr>
        <w:t>2.2 办事机构</w:t>
      </w:r>
      <w:r>
        <w:tab/>
      </w:r>
      <w:r>
        <w:fldChar w:fldCharType="begin"/>
      </w:r>
      <w:r>
        <w:instrText xml:space="preserve"> PAGEREF _Toc12725 \h </w:instrText>
      </w:r>
      <w:r>
        <w:fldChar w:fldCharType="separate"/>
      </w:r>
      <w:r>
        <w:t>3</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_Toc8042 </w:instrText>
      </w:r>
      <w:r>
        <w:rPr>
          <w:rFonts w:ascii="方正小标宋简体" w:eastAsia="方正小标宋简体"/>
          <w:szCs w:val="44"/>
        </w:rPr>
        <w:fldChar w:fldCharType="separate"/>
      </w:r>
      <w:r>
        <w:rPr>
          <w:rFonts w:hint="eastAsia" w:ascii="楷体_GB2312" w:hAnsi="楷体_GB2312" w:eastAsia="楷体_GB2312" w:cs="楷体_GB2312"/>
        </w:rPr>
        <w:t>2.3 成员单位</w:t>
      </w:r>
      <w:r>
        <w:tab/>
      </w:r>
      <w:r>
        <w:fldChar w:fldCharType="begin"/>
      </w:r>
      <w:r>
        <w:instrText xml:space="preserve"> PAGEREF _Toc8042 \h </w:instrText>
      </w:r>
      <w:r>
        <w:fldChar w:fldCharType="separate"/>
      </w:r>
      <w:r>
        <w:t>4</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_Toc3771 </w:instrText>
      </w:r>
      <w:r>
        <w:rPr>
          <w:rFonts w:ascii="方正小标宋简体" w:eastAsia="方正小标宋简体"/>
          <w:szCs w:val="44"/>
        </w:rPr>
        <w:fldChar w:fldCharType="separate"/>
      </w:r>
      <w:r>
        <w:rPr>
          <w:rFonts w:hint="eastAsia" w:ascii="楷体_GB2312" w:hAnsi="楷体_GB2312" w:eastAsia="楷体_GB2312" w:cs="楷体_GB2312"/>
        </w:rPr>
        <w:t>2.4 工作组</w:t>
      </w:r>
      <w:r>
        <w:tab/>
      </w:r>
      <w:r>
        <w:fldChar w:fldCharType="begin"/>
      </w:r>
      <w:r>
        <w:instrText xml:space="preserve"> PAGEREF _Toc3771 \h </w:instrText>
      </w:r>
      <w:r>
        <w:fldChar w:fldCharType="separate"/>
      </w:r>
      <w:r>
        <w:t>6</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_Toc4973 </w:instrText>
      </w:r>
      <w:r>
        <w:rPr>
          <w:rFonts w:ascii="方正小标宋简体" w:eastAsia="方正小标宋简体"/>
          <w:szCs w:val="44"/>
        </w:rPr>
        <w:fldChar w:fldCharType="separate"/>
      </w:r>
      <w:r>
        <w:rPr>
          <w:rFonts w:hint="eastAsia" w:ascii="楷体_GB2312" w:hAnsi="楷体_GB2312" w:eastAsia="楷体_GB2312" w:cs="楷体_GB2312"/>
        </w:rPr>
        <w:t>2.5 现场指挥部</w:t>
      </w:r>
      <w:r>
        <w:tab/>
      </w:r>
      <w:r>
        <w:fldChar w:fldCharType="begin"/>
      </w:r>
      <w:r>
        <w:instrText xml:space="preserve"> PAGEREF _Toc4973 \h </w:instrText>
      </w:r>
      <w:r>
        <w:fldChar w:fldCharType="separate"/>
      </w:r>
      <w:r>
        <w:t>8</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_Toc22934 </w:instrText>
      </w:r>
      <w:r>
        <w:rPr>
          <w:rFonts w:ascii="方正小标宋简体" w:eastAsia="方正小标宋简体"/>
          <w:szCs w:val="44"/>
        </w:rPr>
        <w:fldChar w:fldCharType="separate"/>
      </w:r>
      <w:r>
        <w:rPr>
          <w:rFonts w:hint="eastAsia" w:ascii="楷体_GB2312" w:hAnsi="楷体_GB2312" w:eastAsia="楷体_GB2312" w:cs="楷体_GB2312"/>
        </w:rPr>
        <w:t>2.6应急救援专家组</w:t>
      </w:r>
      <w:r>
        <w:tab/>
      </w:r>
      <w:r>
        <w:fldChar w:fldCharType="begin"/>
      </w:r>
      <w:r>
        <w:instrText xml:space="preserve"> PAGEREF _Toc22934 \h </w:instrText>
      </w:r>
      <w:r>
        <w:fldChar w:fldCharType="separate"/>
      </w:r>
      <w:r>
        <w:t>8</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_Toc26060 </w:instrText>
      </w:r>
      <w:r>
        <w:rPr>
          <w:rFonts w:ascii="方正小标宋简体" w:eastAsia="方正小标宋简体"/>
          <w:szCs w:val="44"/>
        </w:rPr>
        <w:fldChar w:fldCharType="separate"/>
      </w:r>
      <w:r>
        <w:rPr>
          <w:rFonts w:hint="eastAsia" w:ascii="楷体_GB2312" w:hAnsi="楷体_GB2312" w:eastAsia="楷体_GB2312" w:cs="楷体_GB2312"/>
        </w:rPr>
        <w:t>2.7 各特种设备使用单位应急机构</w:t>
      </w:r>
      <w:r>
        <w:tab/>
      </w:r>
      <w:r>
        <w:fldChar w:fldCharType="begin"/>
      </w:r>
      <w:r>
        <w:instrText xml:space="preserve"> PAGEREF _Toc26060 \h </w:instrText>
      </w:r>
      <w:r>
        <w:fldChar w:fldCharType="separate"/>
      </w:r>
      <w:r>
        <w:t>9</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_Toc21196 </w:instrText>
      </w:r>
      <w:r>
        <w:rPr>
          <w:rFonts w:ascii="方正小标宋简体" w:eastAsia="方正小标宋简体"/>
          <w:szCs w:val="44"/>
        </w:rPr>
        <w:fldChar w:fldCharType="separate"/>
      </w:r>
      <w:r>
        <w:rPr>
          <w:rFonts w:hint="eastAsia" w:ascii="黑体" w:hAnsi="黑体" w:eastAsia="黑体" w:cs="MicrosoftYaHei"/>
          <w:kern w:val="0"/>
          <w:szCs w:val="32"/>
        </w:rPr>
        <w:t xml:space="preserve">3 </w:t>
      </w:r>
      <w:r>
        <w:rPr>
          <w:rFonts w:hint="eastAsia" w:ascii="黑体" w:hAnsi="黑体" w:eastAsia="黑体" w:cs="宋体"/>
          <w:kern w:val="0"/>
          <w:szCs w:val="32"/>
        </w:rPr>
        <w:t>监测</w:t>
      </w:r>
      <w:r>
        <w:rPr>
          <w:rFonts w:hint="eastAsia" w:ascii="黑体" w:hAnsi="黑体" w:eastAsia="黑体" w:cs="MS Mincho"/>
          <w:kern w:val="0"/>
          <w:szCs w:val="32"/>
        </w:rPr>
        <w:t>与</w:t>
      </w:r>
      <w:r>
        <w:rPr>
          <w:rFonts w:hint="eastAsia" w:ascii="黑体" w:hAnsi="黑体" w:eastAsia="黑体" w:cs="宋体"/>
          <w:kern w:val="0"/>
          <w:szCs w:val="32"/>
        </w:rPr>
        <w:t>预</w:t>
      </w:r>
      <w:r>
        <w:rPr>
          <w:rFonts w:hint="eastAsia" w:ascii="黑体" w:hAnsi="黑体" w:eastAsia="黑体" w:cs="MS Mincho"/>
          <w:kern w:val="0"/>
          <w:szCs w:val="32"/>
        </w:rPr>
        <w:t>警</w:t>
      </w:r>
      <w:r>
        <w:tab/>
      </w:r>
      <w:r>
        <w:fldChar w:fldCharType="begin"/>
      </w:r>
      <w:r>
        <w:instrText xml:space="preserve"> PAGEREF _Toc21196 \h </w:instrText>
      </w:r>
      <w:r>
        <w:fldChar w:fldCharType="separate"/>
      </w:r>
      <w:r>
        <w:t>9</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_Toc3544 </w:instrText>
      </w:r>
      <w:r>
        <w:rPr>
          <w:rFonts w:ascii="方正小标宋简体" w:eastAsia="方正小标宋简体"/>
          <w:szCs w:val="44"/>
        </w:rPr>
        <w:fldChar w:fldCharType="separate"/>
      </w:r>
      <w:r>
        <w:rPr>
          <w:rFonts w:hint="eastAsia" w:ascii="楷体_GB2312" w:hAnsi="楷体_GB2312" w:eastAsia="楷体_GB2312" w:cs="楷体_GB2312"/>
        </w:rPr>
        <w:t>3.1 监测</w:t>
      </w:r>
      <w:r>
        <w:tab/>
      </w:r>
      <w:r>
        <w:fldChar w:fldCharType="begin"/>
      </w:r>
      <w:r>
        <w:instrText xml:space="preserve"> PAGEREF _Toc3544 \h </w:instrText>
      </w:r>
      <w:r>
        <w:fldChar w:fldCharType="separate"/>
      </w:r>
      <w:r>
        <w:t>9</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_Toc29115 </w:instrText>
      </w:r>
      <w:r>
        <w:rPr>
          <w:rFonts w:ascii="方正小标宋简体" w:eastAsia="方正小标宋简体"/>
          <w:szCs w:val="44"/>
        </w:rPr>
        <w:fldChar w:fldCharType="separate"/>
      </w:r>
      <w:r>
        <w:rPr>
          <w:rFonts w:hint="eastAsia" w:ascii="楷体_GB2312" w:hAnsi="楷体_GB2312" w:eastAsia="楷体_GB2312" w:cs="楷体_GB2312"/>
        </w:rPr>
        <w:t>3.2 预警</w:t>
      </w:r>
      <w:r>
        <w:tab/>
      </w:r>
      <w:r>
        <w:fldChar w:fldCharType="begin"/>
      </w:r>
      <w:r>
        <w:instrText xml:space="preserve"> PAGEREF _Toc29115 \h </w:instrText>
      </w:r>
      <w:r>
        <w:fldChar w:fldCharType="separate"/>
      </w:r>
      <w:r>
        <w:t>10</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_Toc30056 </w:instrText>
      </w:r>
      <w:r>
        <w:rPr>
          <w:rFonts w:ascii="方正小标宋简体" w:eastAsia="方正小标宋简体"/>
          <w:szCs w:val="44"/>
        </w:rPr>
        <w:fldChar w:fldCharType="separate"/>
      </w:r>
      <w:r>
        <w:rPr>
          <w:rFonts w:hint="eastAsia" w:ascii="楷体_GB2312" w:hAnsi="楷体_GB2312" w:eastAsia="楷体_GB2312" w:cs="楷体_GB2312"/>
          <w:kern w:val="0"/>
          <w:szCs w:val="32"/>
        </w:rPr>
        <w:t xml:space="preserve">4 </w:t>
      </w:r>
      <w:r>
        <w:rPr>
          <w:rFonts w:hint="eastAsia" w:ascii="楷体_GB2312" w:hAnsi="楷体_GB2312" w:eastAsia="楷体_GB2312" w:cs="楷体_GB2312"/>
          <w:kern w:val="0"/>
          <w:szCs w:val="32"/>
          <w:lang w:val="en-US" w:eastAsia="zh-CN"/>
        </w:rPr>
        <w:t>应急处置</w:t>
      </w:r>
      <w:r>
        <w:tab/>
      </w:r>
      <w:r>
        <w:fldChar w:fldCharType="begin"/>
      </w:r>
      <w:r>
        <w:instrText xml:space="preserve"> PAGEREF _Toc30056 \h </w:instrText>
      </w:r>
      <w:r>
        <w:fldChar w:fldCharType="separate"/>
      </w:r>
      <w:r>
        <w:t>11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_Toc20755 </w:instrText>
      </w:r>
      <w:r>
        <w:rPr>
          <w:rFonts w:ascii="方正小标宋简体" w:eastAsia="方正小标宋简体"/>
          <w:szCs w:val="44"/>
        </w:rPr>
        <w:fldChar w:fldCharType="separate"/>
      </w:r>
      <w:r>
        <w:rPr>
          <w:rFonts w:hint="eastAsia" w:ascii="楷体_GB2312" w:hAnsi="楷体_GB2312" w:eastAsia="楷体_GB2312" w:cs="楷体_GB2312"/>
        </w:rPr>
        <w:t>4.1 信息报告</w:t>
      </w:r>
      <w:r>
        <w:tab/>
      </w:r>
      <w:r>
        <w:fldChar w:fldCharType="begin"/>
      </w:r>
      <w:r>
        <w:instrText xml:space="preserve"> PAGEREF _Toc20755 \h </w:instrText>
      </w:r>
      <w:r>
        <w:fldChar w:fldCharType="separate"/>
      </w:r>
      <w:r>
        <w:t>11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_Toc27633 </w:instrText>
      </w:r>
      <w:r>
        <w:rPr>
          <w:rFonts w:ascii="方正小标宋简体" w:eastAsia="方正小标宋简体"/>
          <w:szCs w:val="44"/>
        </w:rPr>
        <w:fldChar w:fldCharType="separate"/>
      </w:r>
      <w:r>
        <w:rPr>
          <w:rFonts w:hint="eastAsia" w:ascii="楷体_GB2312" w:hAnsi="楷体_GB2312" w:eastAsia="楷体_GB2312" w:cs="楷体_GB2312"/>
        </w:rPr>
        <w:t>4.2 先期处置</w:t>
      </w:r>
      <w:r>
        <w:tab/>
      </w:r>
      <w:r>
        <w:fldChar w:fldCharType="begin"/>
      </w:r>
      <w:r>
        <w:instrText xml:space="preserve"> PAGEREF _Toc27633 \h </w:instrText>
      </w:r>
      <w:r>
        <w:fldChar w:fldCharType="separate"/>
      </w:r>
      <w:r>
        <w:t>12</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_Toc11236 </w:instrText>
      </w:r>
      <w:r>
        <w:rPr>
          <w:rFonts w:ascii="方正小标宋简体" w:eastAsia="方正小标宋简体"/>
          <w:szCs w:val="44"/>
        </w:rPr>
        <w:fldChar w:fldCharType="separate"/>
      </w:r>
      <w:r>
        <w:rPr>
          <w:rFonts w:hint="eastAsia" w:ascii="楷体_GB2312" w:hAnsi="楷体_GB2312" w:eastAsia="楷体_GB2312" w:cs="楷体_GB2312"/>
        </w:rPr>
        <w:t>4.3 分级响应</w:t>
      </w:r>
      <w:r>
        <w:tab/>
      </w:r>
      <w:r>
        <w:fldChar w:fldCharType="begin"/>
      </w:r>
      <w:r>
        <w:instrText xml:space="preserve"> PAGEREF _Toc11236 \h </w:instrText>
      </w:r>
      <w:r>
        <w:fldChar w:fldCharType="separate"/>
      </w:r>
      <w:r>
        <w:t>12</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_Toc11218 </w:instrText>
      </w:r>
      <w:r>
        <w:rPr>
          <w:rFonts w:ascii="方正小标宋简体" w:eastAsia="方正小标宋简体"/>
          <w:szCs w:val="44"/>
        </w:rPr>
        <w:fldChar w:fldCharType="separate"/>
      </w:r>
      <w:r>
        <w:rPr>
          <w:rFonts w:hint="eastAsia" w:ascii="楷体_GB2312" w:hAnsi="楷体_GB2312" w:eastAsia="楷体_GB2312" w:cs="楷体_GB2312"/>
        </w:rPr>
        <w:t>4.4 处置措施</w:t>
      </w:r>
      <w:r>
        <w:tab/>
      </w:r>
      <w:r>
        <w:fldChar w:fldCharType="begin"/>
      </w:r>
      <w:r>
        <w:instrText xml:space="preserve"> PAGEREF _Toc11218 \h </w:instrText>
      </w:r>
      <w:r>
        <w:fldChar w:fldCharType="separate"/>
      </w:r>
      <w:r>
        <w:t>13</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_Toc22627 </w:instrText>
      </w:r>
      <w:r>
        <w:rPr>
          <w:rFonts w:ascii="方正小标宋简体" w:eastAsia="方正小标宋简体"/>
          <w:szCs w:val="44"/>
        </w:rPr>
        <w:fldChar w:fldCharType="separate"/>
      </w:r>
      <w:r>
        <w:rPr>
          <w:rFonts w:hint="eastAsia" w:ascii="楷体_GB2312" w:hAnsi="楷体_GB2312" w:eastAsia="楷体_GB2312" w:cs="楷体_GB2312"/>
        </w:rPr>
        <w:t>4.5 响应升级</w:t>
      </w:r>
      <w:r>
        <w:tab/>
      </w:r>
      <w:r>
        <w:fldChar w:fldCharType="begin"/>
      </w:r>
      <w:r>
        <w:instrText xml:space="preserve"> PAGEREF _Toc22627 \h </w:instrText>
      </w:r>
      <w:r>
        <w:fldChar w:fldCharType="separate"/>
      </w:r>
      <w:r>
        <w:t>15</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_Toc19090 </w:instrText>
      </w:r>
      <w:r>
        <w:rPr>
          <w:rFonts w:ascii="方正小标宋简体" w:eastAsia="方正小标宋简体"/>
          <w:szCs w:val="44"/>
        </w:rPr>
        <w:fldChar w:fldCharType="separate"/>
      </w:r>
      <w:r>
        <w:rPr>
          <w:rFonts w:hint="eastAsia" w:ascii="楷体_GB2312" w:hAnsi="楷体_GB2312" w:eastAsia="楷体_GB2312" w:cs="楷体_GB2312"/>
        </w:rPr>
        <w:t>4.6 新闻报道</w:t>
      </w:r>
      <w:r>
        <w:tab/>
      </w:r>
      <w:r>
        <w:fldChar w:fldCharType="begin"/>
      </w:r>
      <w:r>
        <w:instrText xml:space="preserve"> PAGEREF _Toc19090 \h </w:instrText>
      </w:r>
      <w:r>
        <w:fldChar w:fldCharType="separate"/>
      </w:r>
      <w:r>
        <w:t>15</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_Toc21907 </w:instrText>
      </w:r>
      <w:r>
        <w:rPr>
          <w:rFonts w:ascii="方正小标宋简体" w:eastAsia="方正小标宋简体"/>
          <w:szCs w:val="44"/>
        </w:rPr>
        <w:fldChar w:fldCharType="separate"/>
      </w:r>
      <w:r>
        <w:rPr>
          <w:rFonts w:hint="eastAsia" w:ascii="楷体_GB2312" w:hAnsi="楷体_GB2312" w:eastAsia="楷体_GB2312" w:cs="楷体_GB2312"/>
        </w:rPr>
        <w:t>4.7 应急结束</w:t>
      </w:r>
      <w:r>
        <w:tab/>
      </w:r>
      <w:r>
        <w:fldChar w:fldCharType="begin"/>
      </w:r>
      <w:r>
        <w:instrText xml:space="preserve"> PAGEREF _Toc21907 \h </w:instrText>
      </w:r>
      <w:r>
        <w:fldChar w:fldCharType="separate"/>
      </w:r>
      <w:r>
        <w:t>16</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_Toc29780 </w:instrText>
      </w:r>
      <w:r>
        <w:rPr>
          <w:rFonts w:ascii="方正小标宋简体" w:eastAsia="方正小标宋简体"/>
          <w:szCs w:val="44"/>
        </w:rPr>
        <w:fldChar w:fldCharType="separate"/>
      </w:r>
      <w:r>
        <w:rPr>
          <w:rFonts w:hint="eastAsia" w:ascii="黑体" w:hAnsi="黑体" w:eastAsia="黑体"/>
          <w:szCs w:val="32"/>
        </w:rPr>
        <w:t>5 后期处置</w:t>
      </w:r>
      <w:r>
        <w:tab/>
      </w:r>
      <w:r>
        <w:fldChar w:fldCharType="begin"/>
      </w:r>
      <w:r>
        <w:instrText xml:space="preserve"> PAGEREF _Toc29780 \h </w:instrText>
      </w:r>
      <w:r>
        <w:fldChar w:fldCharType="separate"/>
      </w:r>
      <w:r>
        <w:t>17</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_Toc27507 </w:instrText>
      </w:r>
      <w:r>
        <w:rPr>
          <w:rFonts w:ascii="方正小标宋简体" w:eastAsia="方正小标宋简体"/>
          <w:szCs w:val="44"/>
        </w:rPr>
        <w:fldChar w:fldCharType="separate"/>
      </w:r>
      <w:r>
        <w:rPr>
          <w:rFonts w:hint="eastAsia" w:ascii="楷体_GB2312" w:hAnsi="楷体_GB2312" w:eastAsia="楷体_GB2312" w:cs="楷体_GB2312"/>
        </w:rPr>
        <w:t>5.1 善后处置</w:t>
      </w:r>
      <w:r>
        <w:tab/>
      </w:r>
      <w:r>
        <w:fldChar w:fldCharType="begin"/>
      </w:r>
      <w:r>
        <w:instrText xml:space="preserve"> PAGEREF _Toc27507 \h </w:instrText>
      </w:r>
      <w:r>
        <w:fldChar w:fldCharType="separate"/>
      </w:r>
      <w:r>
        <w:t>17</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_Toc5089 </w:instrText>
      </w:r>
      <w:r>
        <w:rPr>
          <w:rFonts w:ascii="方正小标宋简体" w:eastAsia="方正小标宋简体"/>
          <w:szCs w:val="44"/>
        </w:rPr>
        <w:fldChar w:fldCharType="separate"/>
      </w:r>
      <w:r>
        <w:rPr>
          <w:rFonts w:hint="eastAsia" w:ascii="楷体_GB2312" w:hAnsi="楷体_GB2312" w:eastAsia="楷体_GB2312" w:cs="楷体_GB2312"/>
        </w:rPr>
        <w:t>5.2 社会救助</w:t>
      </w:r>
      <w:r>
        <w:tab/>
      </w:r>
      <w:r>
        <w:fldChar w:fldCharType="begin"/>
      </w:r>
      <w:r>
        <w:instrText xml:space="preserve"> PAGEREF _Toc5089 \h </w:instrText>
      </w:r>
      <w:r>
        <w:fldChar w:fldCharType="separate"/>
      </w:r>
      <w:r>
        <w:t>17</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_Toc6499 </w:instrText>
      </w:r>
      <w:r>
        <w:rPr>
          <w:rFonts w:ascii="方正小标宋简体" w:eastAsia="方正小标宋简体"/>
          <w:szCs w:val="44"/>
        </w:rPr>
        <w:fldChar w:fldCharType="separate"/>
      </w:r>
      <w:r>
        <w:rPr>
          <w:rFonts w:hint="eastAsia" w:ascii="楷体_GB2312" w:hAnsi="楷体_GB2312" w:eastAsia="楷体_GB2312" w:cs="楷体_GB2312"/>
        </w:rPr>
        <w:t xml:space="preserve">5.3 </w:t>
      </w:r>
      <w:r>
        <w:rPr>
          <w:rFonts w:hint="eastAsia" w:ascii="楷体_GB2312" w:hAnsi="楷体_GB2312" w:eastAsia="楷体_GB2312" w:cs="楷体_GB2312"/>
          <w:lang w:val="en-US" w:eastAsia="zh-CN"/>
        </w:rPr>
        <w:t>总结</w:t>
      </w:r>
      <w:r>
        <w:rPr>
          <w:rFonts w:hint="eastAsia" w:ascii="楷体_GB2312" w:hAnsi="楷体_GB2312" w:eastAsia="楷体_GB2312" w:cs="楷体_GB2312"/>
        </w:rPr>
        <w:t>评估</w:t>
      </w:r>
      <w:r>
        <w:tab/>
      </w:r>
      <w:r>
        <w:fldChar w:fldCharType="begin"/>
      </w:r>
      <w:r>
        <w:instrText xml:space="preserve"> PAGEREF _Toc6499 \h </w:instrText>
      </w:r>
      <w:r>
        <w:fldChar w:fldCharType="separate"/>
      </w:r>
      <w:r>
        <w:t>17</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_Toc21483 </w:instrText>
      </w:r>
      <w:r>
        <w:rPr>
          <w:rFonts w:ascii="方正小标宋简体" w:eastAsia="方正小标宋简体"/>
          <w:szCs w:val="44"/>
        </w:rPr>
        <w:fldChar w:fldCharType="separate"/>
      </w:r>
      <w:r>
        <w:rPr>
          <w:rFonts w:hint="eastAsia" w:ascii="黑体" w:hAnsi="黑体" w:eastAsia="黑体"/>
          <w:szCs w:val="32"/>
        </w:rPr>
        <w:t>6 保障措施</w:t>
      </w:r>
      <w:r>
        <w:tab/>
      </w:r>
      <w:r>
        <w:fldChar w:fldCharType="begin"/>
      </w:r>
      <w:r>
        <w:instrText xml:space="preserve"> PAGEREF _Toc21483 \h </w:instrText>
      </w:r>
      <w:r>
        <w:fldChar w:fldCharType="separate"/>
      </w:r>
      <w:r>
        <w:t>18</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_Toc11479 </w:instrText>
      </w:r>
      <w:r>
        <w:rPr>
          <w:rFonts w:ascii="方正小标宋简体" w:eastAsia="方正小标宋简体"/>
          <w:szCs w:val="44"/>
        </w:rPr>
        <w:fldChar w:fldCharType="separate"/>
      </w:r>
      <w:r>
        <w:rPr>
          <w:rFonts w:hint="eastAsia" w:ascii="楷体_GB2312" w:hAnsi="楷体_GB2312" w:eastAsia="楷体_GB2312" w:cs="楷体_GB2312"/>
          <w:highlight w:val="none"/>
        </w:rPr>
        <w:t>6.1 通信与信息保障</w:t>
      </w:r>
      <w:r>
        <w:tab/>
      </w:r>
      <w:r>
        <w:fldChar w:fldCharType="begin"/>
      </w:r>
      <w:r>
        <w:instrText xml:space="preserve"> PAGEREF _Toc11479 \h </w:instrText>
      </w:r>
      <w:r>
        <w:fldChar w:fldCharType="separate"/>
      </w:r>
      <w:r>
        <w:t>18</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_Toc2935 </w:instrText>
      </w:r>
      <w:r>
        <w:rPr>
          <w:rFonts w:ascii="方正小标宋简体" w:eastAsia="方正小标宋简体"/>
          <w:szCs w:val="44"/>
        </w:rPr>
        <w:fldChar w:fldCharType="separate"/>
      </w:r>
      <w:r>
        <w:rPr>
          <w:rFonts w:hint="eastAsia" w:ascii="楷体_GB2312" w:hAnsi="楷体_GB2312" w:eastAsia="楷体_GB2312" w:cs="楷体_GB2312"/>
        </w:rPr>
        <w:t>6.2 资金保障</w:t>
      </w:r>
      <w:r>
        <w:tab/>
      </w:r>
      <w:r>
        <w:fldChar w:fldCharType="begin"/>
      </w:r>
      <w:r>
        <w:instrText xml:space="preserve"> PAGEREF _Toc2935 \h </w:instrText>
      </w:r>
      <w:r>
        <w:fldChar w:fldCharType="separate"/>
      </w:r>
      <w:r>
        <w:t>18</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_Toc27291 </w:instrText>
      </w:r>
      <w:r>
        <w:rPr>
          <w:rFonts w:ascii="方正小标宋简体" w:eastAsia="方正小标宋简体"/>
          <w:szCs w:val="44"/>
        </w:rPr>
        <w:fldChar w:fldCharType="separate"/>
      </w:r>
      <w:r>
        <w:rPr>
          <w:rFonts w:hint="eastAsia" w:ascii="楷体_GB2312" w:hAnsi="楷体_GB2312" w:eastAsia="楷体_GB2312" w:cs="楷体_GB2312"/>
        </w:rPr>
        <w:t>6.3 队伍保障</w:t>
      </w:r>
      <w:r>
        <w:tab/>
      </w:r>
      <w:r>
        <w:fldChar w:fldCharType="begin"/>
      </w:r>
      <w:r>
        <w:instrText xml:space="preserve"> PAGEREF _Toc27291 \h </w:instrText>
      </w:r>
      <w:r>
        <w:fldChar w:fldCharType="separate"/>
      </w:r>
      <w:r>
        <w:t>18</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_Toc30355 </w:instrText>
      </w:r>
      <w:r>
        <w:rPr>
          <w:rFonts w:ascii="方正小标宋简体" w:eastAsia="方正小标宋简体"/>
          <w:szCs w:val="44"/>
        </w:rPr>
        <w:fldChar w:fldCharType="separate"/>
      </w:r>
      <w:r>
        <w:rPr>
          <w:rFonts w:hint="eastAsia" w:ascii="楷体_GB2312" w:hAnsi="楷体_GB2312" w:eastAsia="楷体_GB2312" w:cs="楷体_GB2312"/>
        </w:rPr>
        <w:t>6.4 装备保障</w:t>
      </w:r>
      <w:r>
        <w:tab/>
      </w:r>
      <w:r>
        <w:fldChar w:fldCharType="begin"/>
      </w:r>
      <w:r>
        <w:instrText xml:space="preserve"> PAGEREF _Toc30355 \h </w:instrText>
      </w:r>
      <w:r>
        <w:fldChar w:fldCharType="separate"/>
      </w:r>
      <w:r>
        <w:t>19</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_Toc18223 </w:instrText>
      </w:r>
      <w:r>
        <w:rPr>
          <w:rFonts w:ascii="方正小标宋简体" w:eastAsia="方正小标宋简体"/>
          <w:szCs w:val="44"/>
        </w:rPr>
        <w:fldChar w:fldCharType="separate"/>
      </w:r>
      <w:r>
        <w:rPr>
          <w:rFonts w:hint="eastAsia" w:ascii="楷体_GB2312" w:hAnsi="楷体_GB2312" w:eastAsia="楷体_GB2312" w:cs="楷体_GB2312"/>
        </w:rPr>
        <w:t>6.5 其他资源保障</w:t>
      </w:r>
      <w:r>
        <w:tab/>
      </w:r>
      <w:r>
        <w:fldChar w:fldCharType="begin"/>
      </w:r>
      <w:r>
        <w:instrText xml:space="preserve"> PAGEREF _Toc18223 \h </w:instrText>
      </w:r>
      <w:r>
        <w:fldChar w:fldCharType="separate"/>
      </w:r>
      <w:r>
        <w:t>19</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_Toc26050 </w:instrText>
      </w:r>
      <w:r>
        <w:rPr>
          <w:rFonts w:ascii="方正小标宋简体" w:eastAsia="方正小标宋简体"/>
          <w:szCs w:val="44"/>
        </w:rPr>
        <w:fldChar w:fldCharType="separate"/>
      </w:r>
      <w:r>
        <w:rPr>
          <w:rFonts w:hint="eastAsia" w:ascii="黑体" w:hAnsi="黑体" w:eastAsia="黑体"/>
          <w:szCs w:val="32"/>
        </w:rPr>
        <w:t>7 宣传教育、培训和应急演练</w:t>
      </w:r>
      <w:r>
        <w:tab/>
      </w:r>
      <w:r>
        <w:fldChar w:fldCharType="begin"/>
      </w:r>
      <w:r>
        <w:instrText xml:space="preserve"> PAGEREF _Toc26050 \h </w:instrText>
      </w:r>
      <w:r>
        <w:fldChar w:fldCharType="separate"/>
      </w:r>
      <w:r>
        <w:t>19</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_Toc20227 </w:instrText>
      </w:r>
      <w:r>
        <w:rPr>
          <w:rFonts w:ascii="方正小标宋简体" w:eastAsia="方正小标宋简体"/>
          <w:szCs w:val="44"/>
        </w:rPr>
        <w:fldChar w:fldCharType="separate"/>
      </w:r>
      <w:r>
        <w:rPr>
          <w:rFonts w:hint="eastAsia" w:ascii="楷体_GB2312" w:hAnsi="楷体_GB2312" w:eastAsia="楷体_GB2312" w:cs="楷体_GB2312"/>
        </w:rPr>
        <w:t>7.1 宣传教育</w:t>
      </w:r>
      <w:r>
        <w:tab/>
      </w:r>
      <w:r>
        <w:fldChar w:fldCharType="begin"/>
      </w:r>
      <w:r>
        <w:instrText xml:space="preserve"> PAGEREF _Toc20227 \h </w:instrText>
      </w:r>
      <w:r>
        <w:fldChar w:fldCharType="separate"/>
      </w:r>
      <w:r>
        <w:t>19</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_Toc8644 </w:instrText>
      </w:r>
      <w:r>
        <w:rPr>
          <w:rFonts w:ascii="方正小标宋简体" w:eastAsia="方正小标宋简体"/>
          <w:szCs w:val="44"/>
        </w:rPr>
        <w:fldChar w:fldCharType="separate"/>
      </w:r>
      <w:r>
        <w:rPr>
          <w:rFonts w:hint="eastAsia" w:ascii="楷体_GB2312" w:hAnsi="楷体_GB2312" w:eastAsia="楷体_GB2312" w:cs="楷体_GB2312"/>
        </w:rPr>
        <w:t>7.2 培训</w:t>
      </w:r>
      <w:r>
        <w:tab/>
      </w:r>
      <w:r>
        <w:fldChar w:fldCharType="begin"/>
      </w:r>
      <w:r>
        <w:instrText xml:space="preserve"> PAGEREF _Toc8644 \h </w:instrText>
      </w:r>
      <w:r>
        <w:fldChar w:fldCharType="separate"/>
      </w:r>
      <w:r>
        <w:t>20</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_Toc9631 </w:instrText>
      </w:r>
      <w:r>
        <w:rPr>
          <w:rFonts w:ascii="方正小标宋简体" w:eastAsia="方正小标宋简体"/>
          <w:szCs w:val="44"/>
        </w:rPr>
        <w:fldChar w:fldCharType="separate"/>
      </w:r>
      <w:r>
        <w:rPr>
          <w:rFonts w:hint="eastAsia" w:ascii="楷体_GB2312" w:hAnsi="楷体_GB2312" w:eastAsia="楷体_GB2312" w:cs="楷体_GB2312"/>
        </w:rPr>
        <w:t>7.3 应急演练</w:t>
      </w:r>
      <w:r>
        <w:tab/>
      </w:r>
      <w:r>
        <w:fldChar w:fldCharType="begin"/>
      </w:r>
      <w:r>
        <w:instrText xml:space="preserve"> PAGEREF _Toc9631 \h </w:instrText>
      </w:r>
      <w:r>
        <w:fldChar w:fldCharType="separate"/>
      </w:r>
      <w:r>
        <w:t>20</w:t>
      </w:r>
      <w:r>
        <w:fldChar w:fldCharType="end"/>
      </w:r>
      <w:r>
        <w:rPr>
          <w:rFonts w:ascii="方正小标宋简体" w:eastAsia="方正小标宋简体"/>
          <w:szCs w:val="44"/>
        </w:rPr>
        <w:fldChar w:fldCharType="end"/>
      </w:r>
    </w:p>
    <w:p>
      <w:pPr>
        <w:pStyle w:val="8"/>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_Toc28327 </w:instrText>
      </w:r>
      <w:r>
        <w:rPr>
          <w:rFonts w:ascii="方正小标宋简体" w:eastAsia="方正小标宋简体"/>
          <w:szCs w:val="44"/>
        </w:rPr>
        <w:fldChar w:fldCharType="separate"/>
      </w:r>
      <w:r>
        <w:rPr>
          <w:rFonts w:hint="eastAsia" w:ascii="黑体" w:hAnsi="黑体" w:eastAsia="黑体"/>
          <w:szCs w:val="32"/>
        </w:rPr>
        <w:t>8 附则</w:t>
      </w:r>
      <w:r>
        <w:tab/>
      </w:r>
      <w:r>
        <w:fldChar w:fldCharType="begin"/>
      </w:r>
      <w:r>
        <w:instrText xml:space="preserve"> PAGEREF _Toc28327 \h </w:instrText>
      </w:r>
      <w:r>
        <w:fldChar w:fldCharType="separate"/>
      </w:r>
      <w:r>
        <w:t>20</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_Toc31479 </w:instrText>
      </w:r>
      <w:r>
        <w:rPr>
          <w:rFonts w:ascii="方正小标宋简体" w:eastAsia="方正小标宋简体"/>
          <w:szCs w:val="44"/>
        </w:rPr>
        <w:fldChar w:fldCharType="separate"/>
      </w:r>
      <w:r>
        <w:rPr>
          <w:rFonts w:hint="eastAsia" w:ascii="楷体_GB2312" w:hAnsi="楷体_GB2312" w:eastAsia="楷体_GB2312" w:cs="楷体_GB2312"/>
        </w:rPr>
        <w:t>8.1 责任与奖惩</w:t>
      </w:r>
      <w:r>
        <w:tab/>
      </w:r>
      <w:r>
        <w:fldChar w:fldCharType="begin"/>
      </w:r>
      <w:r>
        <w:instrText xml:space="preserve"> PAGEREF _Toc31479 \h </w:instrText>
      </w:r>
      <w:r>
        <w:fldChar w:fldCharType="separate"/>
      </w:r>
      <w:r>
        <w:t>20</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_Toc12349 </w:instrText>
      </w:r>
      <w:r>
        <w:rPr>
          <w:rFonts w:ascii="方正小标宋简体" w:eastAsia="方正小标宋简体"/>
          <w:szCs w:val="44"/>
        </w:rPr>
        <w:fldChar w:fldCharType="separate"/>
      </w:r>
      <w:r>
        <w:rPr>
          <w:rFonts w:hint="eastAsia" w:ascii="楷体_GB2312" w:hAnsi="楷体_GB2312" w:eastAsia="楷体_GB2312" w:cs="楷体_GB2312"/>
        </w:rPr>
        <w:t>8.2 涉外情况</w:t>
      </w:r>
      <w:r>
        <w:tab/>
      </w:r>
      <w:r>
        <w:fldChar w:fldCharType="begin"/>
      </w:r>
      <w:r>
        <w:instrText xml:space="preserve"> PAGEREF _Toc12349 \h </w:instrText>
      </w:r>
      <w:r>
        <w:fldChar w:fldCharType="separate"/>
      </w:r>
      <w:r>
        <w:t>21</w:t>
      </w:r>
      <w:r>
        <w:fldChar w:fldCharType="end"/>
      </w:r>
      <w:r>
        <w:rPr>
          <w:rFonts w:ascii="方正小标宋简体" w:eastAsia="方正小标宋简体"/>
          <w:szCs w:val="44"/>
        </w:rPr>
        <w:fldChar w:fldCharType="end"/>
      </w:r>
    </w:p>
    <w:p>
      <w:pPr>
        <w:pStyle w:val="9"/>
        <w:tabs>
          <w:tab w:val="right" w:leader="dot" w:pos="8306"/>
        </w:tabs>
      </w:pPr>
      <w:r>
        <w:rPr>
          <w:rFonts w:ascii="方正小标宋简体" w:eastAsia="方正小标宋简体"/>
          <w:szCs w:val="44"/>
        </w:rPr>
        <w:fldChar w:fldCharType="begin"/>
      </w:r>
      <w:r>
        <w:rPr>
          <w:rFonts w:ascii="方正小标宋简体" w:eastAsia="方正小标宋简体"/>
          <w:szCs w:val="44"/>
        </w:rPr>
        <w:instrText xml:space="preserve"> HYPERLINK \l _Toc4223 </w:instrText>
      </w:r>
      <w:r>
        <w:rPr>
          <w:rFonts w:ascii="方正小标宋简体" w:eastAsia="方正小标宋简体"/>
          <w:szCs w:val="44"/>
        </w:rPr>
        <w:fldChar w:fldCharType="separate"/>
      </w:r>
      <w:r>
        <w:rPr>
          <w:rFonts w:hint="eastAsia" w:ascii="楷体_GB2312" w:hAnsi="楷体_GB2312" w:eastAsia="楷体_GB2312" w:cs="楷体_GB2312"/>
        </w:rPr>
        <w:t>8.3 预案管理</w:t>
      </w:r>
      <w:r>
        <w:tab/>
      </w:r>
      <w:r>
        <w:fldChar w:fldCharType="begin"/>
      </w:r>
      <w:r>
        <w:instrText xml:space="preserve"> PAGEREF _Toc4223 \h </w:instrText>
      </w:r>
      <w:r>
        <w:fldChar w:fldCharType="separate"/>
      </w:r>
      <w:r>
        <w:t>21</w:t>
      </w:r>
      <w:r>
        <w:fldChar w:fldCharType="end"/>
      </w:r>
      <w:r>
        <w:rPr>
          <w:rFonts w:ascii="方正小标宋简体" w:eastAsia="方正小标宋简体"/>
          <w:szCs w:val="44"/>
        </w:rPr>
        <w:fldChar w:fldCharType="end"/>
      </w:r>
    </w:p>
    <w:p>
      <w:pPr>
        <w:adjustRightInd w:val="0"/>
        <w:snapToGrid w:val="0"/>
        <w:spacing w:line="620" w:lineRule="exact"/>
        <w:jc w:val="center"/>
        <w:rPr>
          <w:rFonts w:ascii="方正小标宋简体" w:eastAsia="方正小标宋简体"/>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ascii="方正小标宋简体" w:eastAsia="方正小标宋简体"/>
          <w:szCs w:val="44"/>
        </w:rPr>
        <w:fldChar w:fldCharType="end"/>
      </w:r>
    </w:p>
    <w:p>
      <w:pPr>
        <w:pStyle w:val="2"/>
        <w:keepNext w:val="0"/>
        <w:keepLines w:val="0"/>
        <w:adjustRightInd w:val="0"/>
        <w:snapToGrid w:val="0"/>
        <w:spacing w:before="0" w:after="0" w:line="620" w:lineRule="exact"/>
        <w:ind w:firstLine="643" w:firstLineChars="200"/>
        <w:rPr>
          <w:rFonts w:ascii="黑体" w:hAnsi="黑体" w:eastAsia="黑体"/>
          <w:sz w:val="32"/>
          <w:szCs w:val="32"/>
        </w:rPr>
      </w:pPr>
      <w:bookmarkStart w:id="0" w:name="_Toc13927"/>
      <w:r>
        <w:rPr>
          <w:rFonts w:hint="eastAsia" w:ascii="黑体" w:hAnsi="黑体" w:eastAsia="黑体"/>
          <w:sz w:val="32"/>
          <w:szCs w:val="32"/>
        </w:rPr>
        <w:t>1 总则</w:t>
      </w:r>
      <w:bookmarkEnd w:id="0"/>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1" w:name="_Toc7467"/>
      <w:r>
        <w:rPr>
          <w:rFonts w:hint="eastAsia" w:ascii="楷体_GB2312" w:hAnsi="楷体_GB2312" w:eastAsia="楷体_GB2312" w:cs="楷体_GB2312"/>
        </w:rPr>
        <w:t>1.1 编制目的</w:t>
      </w:r>
      <w:bookmarkEnd w:id="1"/>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有效预防和及时处置中新生态城范围内的特种设备事故，及时有效地控制和消除事故危害，最大限度地减少事故造成的人员伤亡、财产损失和环境破坏，促进经济社会发展，结合中新生态城的实际情况，特制定本预案。</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2" w:name="_Toc31611"/>
      <w:r>
        <w:rPr>
          <w:rFonts w:hint="eastAsia" w:ascii="楷体_GB2312" w:hAnsi="楷体_GB2312" w:eastAsia="楷体_GB2312" w:cs="楷体_GB2312"/>
        </w:rPr>
        <w:t>1.2 编制依据</w:t>
      </w:r>
      <w:bookmarkEnd w:id="2"/>
    </w:p>
    <w:p>
      <w:pPr>
        <w:autoSpaceDE w:val="0"/>
        <w:autoSpaceDN w:val="0"/>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根据《中华人民共和国突发事件应对法》《中华人民共和国安全生产法》《中华人民共和国特种设备安全法》《特种设备安全监察条例》《城镇燃气管理条例》《特种设备事故报告和调查处理规定》</w:t>
      </w:r>
      <w:r>
        <w:rPr>
          <w:rFonts w:hint="eastAsia" w:ascii="仿宋_GB2312" w:hAnsi="Calibri-Bold" w:eastAsia="仿宋_GB2312" w:cs="MicrosoftYaHei"/>
          <w:kern w:val="0"/>
          <w:sz w:val="32"/>
          <w:szCs w:val="32"/>
        </w:rPr>
        <w:t>《天津市特种设备事故应急预案》</w:t>
      </w:r>
      <w:r>
        <w:rPr>
          <w:rFonts w:hint="eastAsia" w:ascii="仿宋_GB2312" w:hAnsi="楷体" w:eastAsia="仿宋_GB2312"/>
          <w:sz w:val="32"/>
          <w:szCs w:val="32"/>
        </w:rPr>
        <w:t>《天津市滨海新区突发事件总体应急预案》《天津市滨海新区特种设备事故应急预案》</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天津市滨海新区突发事件总体应急预案</w:t>
      </w:r>
      <w:r>
        <w:rPr>
          <w:rFonts w:hint="eastAsia" w:ascii="仿宋_GB2312" w:hAnsi="楷体" w:eastAsia="仿宋_GB2312"/>
          <w:sz w:val="32"/>
          <w:szCs w:val="32"/>
          <w:lang w:eastAsia="zh-CN"/>
        </w:rPr>
        <w:t>》</w:t>
      </w:r>
      <w:r>
        <w:rPr>
          <w:rFonts w:hint="eastAsia" w:ascii="仿宋_GB2312" w:hAnsi="楷体" w:eastAsia="仿宋_GB2312"/>
          <w:sz w:val="32"/>
          <w:szCs w:val="32"/>
        </w:rPr>
        <w:t>《中新天津生态城突发事件总体应急预案》《天津市市场监督管理委员会突发事件应急预案》等法律、法规和规范性文件,结合本区实际情况，制定本预案。</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3" w:name="_Toc32420"/>
      <w:r>
        <w:rPr>
          <w:rFonts w:hint="eastAsia" w:ascii="楷体_GB2312" w:hAnsi="楷体_GB2312" w:eastAsia="楷体_GB2312" w:cs="楷体_GB2312"/>
        </w:rPr>
        <w:t>1.3 事故分级</w:t>
      </w:r>
      <w:bookmarkEnd w:id="3"/>
    </w:p>
    <w:p>
      <w:pPr>
        <w:adjustRightInd w:val="0"/>
        <w:snapToGrid w:val="0"/>
        <w:spacing w:line="620" w:lineRule="exact"/>
        <w:ind w:firstLine="645"/>
        <w:rPr>
          <w:rFonts w:ascii="仿宋_GB2312" w:hAnsi="楷体" w:eastAsia="仿宋_GB2312"/>
          <w:sz w:val="32"/>
          <w:szCs w:val="32"/>
        </w:rPr>
      </w:pPr>
      <w:r>
        <w:rPr>
          <w:rFonts w:hint="eastAsia" w:ascii="仿宋_GB2312" w:hAnsi="楷体" w:eastAsia="仿宋_GB2312"/>
          <w:sz w:val="32"/>
          <w:szCs w:val="32"/>
        </w:rPr>
        <w:t>依照《特种设备安全监察条例》规定，按照特种设备事故的可控性、严重程度和影响范围，特种设备事故一般分为四级：特别重大、重大、较大和一般（详见附件）。</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4" w:name="_Toc22796"/>
      <w:r>
        <w:rPr>
          <w:rFonts w:hint="eastAsia" w:ascii="楷体_GB2312" w:hAnsi="楷体_GB2312" w:eastAsia="楷体_GB2312" w:cs="楷体_GB2312"/>
        </w:rPr>
        <w:t>1.4 适用范围</w:t>
      </w:r>
      <w:bookmarkEnd w:id="4"/>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本预案是中新生态城处置特种设备事故的专项应急预案，适用于中新天津生态城区域内发生的特种设备事故的应急处置工作。特种设备以国务院批准发布的《特种设备目录》现行版本为准。</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5" w:name="_Toc9117"/>
      <w:r>
        <w:rPr>
          <w:rFonts w:hint="eastAsia" w:ascii="楷体_GB2312" w:hAnsi="楷体_GB2312" w:eastAsia="楷体_GB2312" w:cs="楷体_GB2312"/>
        </w:rPr>
        <w:t>1.5 工作原则</w:t>
      </w:r>
      <w:bookmarkEnd w:id="5"/>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（1）党委领导、</w:t>
      </w:r>
      <w:r>
        <w:rPr>
          <w:rFonts w:hint="eastAsia" w:ascii="仿宋_GB2312" w:hAnsi="楷体" w:eastAsia="仿宋_GB2312"/>
          <w:sz w:val="32"/>
          <w:szCs w:val="32"/>
          <w:lang w:val="en-US" w:eastAsia="zh-CN"/>
        </w:rPr>
        <w:t>管委会</w:t>
      </w:r>
      <w:r>
        <w:rPr>
          <w:rFonts w:hint="eastAsia" w:ascii="仿宋_GB2312" w:hAnsi="楷体" w:eastAsia="仿宋_GB2312"/>
          <w:sz w:val="32"/>
          <w:szCs w:val="32"/>
        </w:rPr>
        <w:t>主导。在生态城</w:t>
      </w:r>
      <w:r>
        <w:rPr>
          <w:rFonts w:hint="eastAsia" w:ascii="仿宋_GB2312" w:hAnsi="楷体" w:eastAsia="仿宋_GB2312"/>
          <w:sz w:val="32"/>
          <w:szCs w:val="32"/>
          <w:lang w:val="en-US" w:eastAsia="zh-CN"/>
        </w:rPr>
        <w:t>党委、</w:t>
      </w:r>
      <w:r>
        <w:rPr>
          <w:rFonts w:hint="eastAsia" w:ascii="仿宋_GB2312" w:hAnsi="楷体" w:eastAsia="仿宋_GB2312"/>
          <w:sz w:val="32"/>
          <w:szCs w:val="32"/>
        </w:rPr>
        <w:t>管委会统一领导下，由生态城特种设备事故应急指挥部具体负责建立并完善专常兼备、反应灵敏、上下联动的特种设备事故应急管理体制，最大限度地减少人员伤亡、财产损失。</w:t>
      </w:r>
    </w:p>
    <w:p>
      <w:pPr>
        <w:adjustRightInd w:val="0"/>
        <w:snapToGrid w:val="0"/>
        <w:spacing w:line="62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（2）统一领导，分级管理。在生态城管委会的统一领导下，各相关部门、社区和企业按照各自职责权限，负责相应级别的特种设备事故的应急处置工作。</w:t>
      </w:r>
      <w:r>
        <w:rPr>
          <w:rFonts w:hint="eastAsia" w:ascii="仿宋_GB2312" w:hAnsi="楷体" w:eastAsia="仿宋_GB2312"/>
          <w:sz w:val="32"/>
          <w:szCs w:val="32"/>
          <w:lang w:val="en-US" w:eastAsia="zh-CN"/>
        </w:rPr>
        <w:t>同时，加强应急救援人员的安全防护，做好特种设备事故预警和预防工作。</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（3）条块结合，属地为主。特种设备事故先期应急救援以</w:t>
      </w:r>
      <w:r>
        <w:rPr>
          <w:rFonts w:hint="eastAsia" w:ascii="仿宋_GB2312" w:hAnsi="楷体" w:eastAsia="仿宋_GB2312"/>
          <w:sz w:val="32"/>
          <w:szCs w:val="32"/>
          <w:lang w:val="en-US" w:eastAsia="zh-CN"/>
        </w:rPr>
        <w:t>事以管委会为</w:t>
      </w:r>
      <w:r>
        <w:rPr>
          <w:rFonts w:hint="eastAsia" w:ascii="仿宋_GB2312" w:hAnsi="楷体" w:eastAsia="仿宋_GB2312"/>
          <w:sz w:val="32"/>
          <w:szCs w:val="32"/>
        </w:rPr>
        <w:t>主，</w:t>
      </w:r>
      <w:r>
        <w:rPr>
          <w:rFonts w:hint="eastAsia" w:ascii="仿宋_GB2312" w:hAnsi="楷体" w:eastAsia="仿宋_GB2312"/>
          <w:sz w:val="32"/>
          <w:szCs w:val="32"/>
          <w:lang w:val="en-US" w:eastAsia="zh-CN"/>
        </w:rPr>
        <w:t>新区有关部门</w:t>
      </w:r>
      <w:r>
        <w:rPr>
          <w:rFonts w:hint="eastAsia" w:ascii="仿宋_GB2312" w:hAnsi="楷体" w:eastAsia="仿宋_GB2312"/>
          <w:sz w:val="32"/>
          <w:szCs w:val="32"/>
        </w:rPr>
        <w:t>和专家参与。生态城有关部门与社区及企业密切配合，充分发挥指导和协调作用。发生特种设备事故的单位是应急救援的第一响应者。按照分级响应的原则，社区、生态城各有关部门及时启动相应级别的应急响应。</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（4）整合资源，平战结合。按照法律、法规的要求和应急救援工作的需要，合理组建救援队伍，做好物资储备、装备管理、人员培训和应急预案演练。</w:t>
      </w:r>
    </w:p>
    <w:p>
      <w:pPr>
        <w:pStyle w:val="2"/>
        <w:keepNext w:val="0"/>
        <w:keepLines w:val="0"/>
        <w:adjustRightInd w:val="0"/>
        <w:snapToGrid w:val="0"/>
        <w:spacing w:before="0" w:after="0" w:line="620" w:lineRule="exact"/>
        <w:ind w:firstLine="643" w:firstLineChars="200"/>
        <w:rPr>
          <w:rFonts w:ascii="黑体" w:hAnsi="黑体" w:eastAsia="黑体"/>
          <w:sz w:val="32"/>
          <w:szCs w:val="32"/>
        </w:rPr>
      </w:pPr>
      <w:bookmarkStart w:id="6" w:name="_Toc26176"/>
      <w:r>
        <w:rPr>
          <w:rFonts w:hint="eastAsia" w:ascii="黑体" w:hAnsi="黑体" w:eastAsia="黑体"/>
          <w:sz w:val="32"/>
          <w:szCs w:val="32"/>
        </w:rPr>
        <w:t>2 组织体系</w:t>
      </w:r>
      <w:bookmarkEnd w:id="6"/>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7" w:name="_Toc26688"/>
      <w:r>
        <w:rPr>
          <w:rFonts w:hint="eastAsia" w:ascii="楷体_GB2312" w:hAnsi="楷体_GB2312" w:eastAsia="楷体_GB2312" w:cs="楷体_GB2312"/>
        </w:rPr>
        <w:t xml:space="preserve">2.1 </w:t>
      </w:r>
      <w:r>
        <w:rPr>
          <w:rFonts w:hint="eastAsia" w:ascii="楷体_GB2312" w:hAnsi="楷体_GB2312" w:eastAsia="楷体_GB2312" w:cs="楷体_GB2312"/>
          <w:lang w:val="en-US" w:eastAsia="zh-CN"/>
        </w:rPr>
        <w:t>指挥</w:t>
      </w:r>
      <w:r>
        <w:rPr>
          <w:rFonts w:hint="eastAsia" w:ascii="楷体_GB2312" w:hAnsi="楷体_GB2312" w:eastAsia="楷体_GB2312" w:cs="楷体_GB2312"/>
        </w:rPr>
        <w:t>机构</w:t>
      </w:r>
      <w:bookmarkEnd w:id="7"/>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2.1.1</w:t>
      </w:r>
      <w:r>
        <w:rPr>
          <w:rFonts w:hint="eastAsia" w:ascii="仿宋_GB2312" w:hAnsi="楷体" w:eastAsia="仿宋_GB2312"/>
          <w:sz w:val="32"/>
          <w:szCs w:val="32"/>
        </w:rPr>
        <w:t>设立中新天津生态城特种设备事故应急指挥部（以下简称“指挥部”），作为生态城</w:t>
      </w:r>
      <w:r>
        <w:rPr>
          <w:rFonts w:hint="eastAsia" w:ascii="仿宋_GB2312" w:hAnsi="楷体" w:eastAsia="仿宋_GB2312"/>
          <w:sz w:val="32"/>
          <w:szCs w:val="32"/>
          <w:lang w:val="en-US" w:eastAsia="zh-CN"/>
        </w:rPr>
        <w:t>特种设备事故应急的专业</w:t>
      </w:r>
      <w:r>
        <w:rPr>
          <w:rFonts w:hint="eastAsia" w:ascii="仿宋_GB2312" w:hAnsi="楷体" w:eastAsia="仿宋_GB2312"/>
          <w:sz w:val="32"/>
          <w:szCs w:val="32"/>
        </w:rPr>
        <w:t>指挥机构，组织开展生态城特种设备事故应急处置工作。总指挥由管委会分管特种设备安全工作的副主任担任，副总指挥由党委办分管副主任、生态城市场监管局</w:t>
      </w:r>
      <w:r>
        <w:rPr>
          <w:rFonts w:hint="eastAsia" w:ascii="仿宋_GB2312" w:hAnsi="楷体" w:eastAsia="仿宋_GB2312"/>
          <w:sz w:val="32"/>
          <w:szCs w:val="32"/>
          <w:lang w:val="en-US" w:eastAsia="zh-CN"/>
        </w:rPr>
        <w:t>主要负责同志</w:t>
      </w:r>
      <w:r>
        <w:rPr>
          <w:rFonts w:hint="eastAsia" w:ascii="仿宋_GB2312" w:hAnsi="楷体" w:eastAsia="仿宋_GB2312"/>
          <w:sz w:val="32"/>
          <w:szCs w:val="32"/>
        </w:rPr>
        <w:t>担任，</w:t>
      </w:r>
      <w:r>
        <w:rPr>
          <w:rFonts w:hint="eastAsia" w:ascii="仿宋_GB2312" w:hAnsi="楷体" w:eastAsia="仿宋_GB2312"/>
          <w:sz w:val="32"/>
          <w:szCs w:val="32"/>
          <w:lang w:val="en-US" w:eastAsia="zh-CN"/>
        </w:rPr>
        <w:t>指挥部各成员单位负责同志为成员</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2.1.2</w:t>
      </w:r>
      <w:r>
        <w:rPr>
          <w:rFonts w:hint="eastAsia" w:ascii="仿宋_GB2312" w:hAnsi="楷体" w:eastAsia="仿宋_GB2312"/>
          <w:sz w:val="32"/>
          <w:szCs w:val="32"/>
        </w:rPr>
        <w:t>指挥部主要职责是：研究提出应对特种设备事故的指导意见和具体措施，根据应急响应级别</w:t>
      </w:r>
      <w:r>
        <w:rPr>
          <w:rFonts w:hint="eastAsia" w:ascii="仿宋_GB2312" w:hAnsi="楷体" w:eastAsia="仿宋_GB2312"/>
          <w:sz w:val="32"/>
          <w:szCs w:val="32"/>
          <w:lang w:eastAsia="zh-CN"/>
        </w:rPr>
        <w:t>，</w:t>
      </w:r>
      <w:r>
        <w:rPr>
          <w:rFonts w:hint="eastAsia" w:ascii="仿宋_GB2312" w:hAnsi="楷体" w:eastAsia="仿宋_GB2312"/>
          <w:sz w:val="32"/>
          <w:szCs w:val="32"/>
        </w:rPr>
        <w:t>组织、指导或配合做好本行政区域内发生的符合预案启动条件的</w:t>
      </w:r>
      <w:r>
        <w:rPr>
          <w:rFonts w:hint="eastAsia" w:ascii="仿宋_GB2312" w:hAnsi="楷体" w:eastAsia="仿宋_GB2312"/>
          <w:sz w:val="32"/>
          <w:szCs w:val="32"/>
          <w:lang w:val="en-US" w:eastAsia="zh-CN"/>
        </w:rPr>
        <w:t>一般及以上</w:t>
      </w:r>
      <w:r>
        <w:rPr>
          <w:rFonts w:hint="eastAsia" w:ascii="仿宋_GB2312" w:hAnsi="楷体" w:eastAsia="仿宋_GB2312"/>
          <w:sz w:val="32"/>
          <w:szCs w:val="32"/>
        </w:rPr>
        <w:t>特种设备事故应急处置工作；研究部署相关应急救援队伍、应急物资装备的建设管理工作，指导建立联席会议制度。</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8" w:name="_Toc12725"/>
      <w:r>
        <w:rPr>
          <w:rFonts w:hint="eastAsia" w:ascii="楷体_GB2312" w:hAnsi="楷体_GB2312" w:eastAsia="楷体_GB2312" w:cs="楷体_GB2312"/>
        </w:rPr>
        <w:t>2.2 办事机构</w:t>
      </w:r>
      <w:bookmarkEnd w:id="8"/>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2.2.1</w:t>
      </w:r>
      <w:r>
        <w:rPr>
          <w:rFonts w:hint="eastAsia" w:ascii="仿宋_GB2312" w:hAnsi="楷体" w:eastAsia="仿宋_GB2312"/>
          <w:sz w:val="32"/>
          <w:szCs w:val="32"/>
        </w:rPr>
        <w:t>指挥部下设中新天津生态城特种设备事故应急指挥部办公室(以下简称“指挥部办公室”)，设在生态城市场监管局。办公室主任由生态城市场监管局分管副局长担任。</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2.2.2</w:t>
      </w:r>
      <w:r>
        <w:rPr>
          <w:rFonts w:hint="eastAsia" w:ascii="仿宋_GB2312" w:hAnsi="楷体" w:eastAsia="仿宋_GB2312"/>
          <w:sz w:val="32"/>
          <w:szCs w:val="32"/>
        </w:rPr>
        <w:t>指挥部办公室的主要职责是：负责指挥部日常工作，起草生态城指挥部有关文件，组织落实指挥部各项工作部署；组织修订生态城特种设备事故应急预案，并组织宣传教育、培训和应急演练；组织指导生态城特种设备事故应急救援体系建设</w:t>
      </w:r>
      <w:r>
        <w:rPr>
          <w:rFonts w:hint="eastAsia" w:ascii="仿宋_GB2312" w:hAnsi="楷体" w:eastAsia="仿宋_GB2312"/>
          <w:sz w:val="32"/>
          <w:szCs w:val="32"/>
          <w:lang w:val="en-US" w:eastAsia="zh-CN"/>
        </w:rPr>
        <w:t>工作</w:t>
      </w:r>
      <w:r>
        <w:rPr>
          <w:rFonts w:hint="eastAsia" w:ascii="仿宋_GB2312" w:hAnsi="楷体" w:eastAsia="仿宋_GB2312"/>
          <w:sz w:val="32"/>
          <w:szCs w:val="32"/>
        </w:rPr>
        <w:t>；建立和维护生态城特种设备事故应急救援专家信息；汇集、上报事故情况和救援情况；承办指挥部交办的其他工作。</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9" w:name="_Toc8042"/>
      <w:r>
        <w:rPr>
          <w:rFonts w:hint="eastAsia" w:ascii="楷体_GB2312" w:hAnsi="楷体_GB2312" w:eastAsia="楷体_GB2312" w:cs="楷体_GB2312"/>
        </w:rPr>
        <w:t>2.3 成员单位</w:t>
      </w:r>
      <w:bookmarkEnd w:id="9"/>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市场监管局：负责指导、协调生态城特种设备事故的应急处理工作；</w:t>
      </w:r>
      <w:r>
        <w:rPr>
          <w:rFonts w:hint="eastAsia" w:ascii="仿宋_GB2312" w:hAnsi="楷体" w:eastAsia="仿宋_GB2312"/>
          <w:sz w:val="32"/>
          <w:szCs w:val="32"/>
          <w:lang w:val="en-US" w:eastAsia="zh-CN"/>
        </w:rPr>
        <w:t>组织指导开展一般特种设备事故调查工作，</w:t>
      </w:r>
      <w:r>
        <w:rPr>
          <w:rFonts w:hint="eastAsia" w:ascii="仿宋_GB2312" w:hAnsi="楷体" w:eastAsia="仿宋_GB2312"/>
          <w:sz w:val="32"/>
          <w:szCs w:val="32"/>
        </w:rPr>
        <w:t>配合有关部门开展</w:t>
      </w:r>
      <w:r>
        <w:rPr>
          <w:rFonts w:hint="eastAsia" w:ascii="仿宋_GB2312" w:hAnsi="楷体" w:eastAsia="仿宋_GB2312"/>
          <w:sz w:val="32"/>
          <w:szCs w:val="32"/>
          <w:lang w:val="en-US" w:eastAsia="zh-CN"/>
        </w:rPr>
        <w:t>较大、重大、特别重大</w:t>
      </w:r>
      <w:r>
        <w:rPr>
          <w:rFonts w:hint="eastAsia" w:ascii="仿宋_GB2312" w:hAnsi="楷体" w:eastAsia="仿宋_GB2312"/>
          <w:sz w:val="32"/>
          <w:szCs w:val="32"/>
        </w:rPr>
        <w:t>特种设备事故调查工作；向管委会和上级机关报告事故及其应急处理情况；负责制定特种设备事故应急管理文件；组织指导各类特种设备事故应急预案演练。</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应急管理局：在特种设备事故涉及危险化学品的情况下，组织调度生态城危险化学品事故应急救援队伍参与事故处置；负责组织指导因事故影响导致基本生活困难的群众的应急救助工作；</w:t>
      </w:r>
      <w:r>
        <w:rPr>
          <w:rFonts w:hint="eastAsia" w:ascii="仿宋_GB2312" w:hAnsi="楷体" w:eastAsia="仿宋_GB2312"/>
          <w:sz w:val="32"/>
          <w:szCs w:val="32"/>
          <w:lang w:val="en-US" w:eastAsia="zh-CN"/>
        </w:rPr>
        <w:t>参与一般</w:t>
      </w:r>
      <w:r>
        <w:rPr>
          <w:rFonts w:hint="eastAsia" w:ascii="仿宋_GB2312" w:hAnsi="楷体" w:eastAsia="仿宋_GB2312"/>
          <w:sz w:val="32"/>
          <w:szCs w:val="32"/>
        </w:rPr>
        <w:t>事故调查处理工作</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应急响应时，负责联络区气象部门，及时向上级气象部门获取事故现场及周边地区风向、风速、温度、湿度、气压、雨量等气象实况资料，为危险化学品扩散的方向预测提供参考</w:t>
      </w:r>
      <w:r>
        <w:rPr>
          <w:rFonts w:hint="eastAsia" w:ascii="仿宋_GB2312" w:hAnsi="楷体" w:eastAsia="仿宋_GB2312"/>
          <w:sz w:val="32"/>
          <w:szCs w:val="32"/>
        </w:rPr>
        <w:t>。</w:t>
      </w:r>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党委办：负责指导有关部门发布特种设备事故信息，及时引导舆论；</w:t>
      </w:r>
      <w:r>
        <w:rPr>
          <w:rFonts w:hint="eastAsia" w:ascii="仿宋_GB2312" w:hAnsi="楷体" w:eastAsia="仿宋_GB2312"/>
          <w:sz w:val="32"/>
          <w:szCs w:val="32"/>
          <w:lang w:val="en-US" w:eastAsia="zh-CN"/>
        </w:rPr>
        <w:t>统筹做好网上舆论引导和舆情调控管控工作</w:t>
      </w:r>
      <w:r>
        <w:rPr>
          <w:rFonts w:hint="eastAsia" w:ascii="仿宋_GB2312" w:hAnsi="楷体" w:eastAsia="仿宋_GB2312"/>
          <w:sz w:val="32"/>
          <w:szCs w:val="32"/>
        </w:rPr>
        <w:t>；协调相关新闻单位做好对外宣传工作。</w:t>
      </w:r>
    </w:p>
    <w:p>
      <w:pPr>
        <w:adjustRightInd w:val="0"/>
        <w:snapToGrid w:val="0"/>
        <w:spacing w:line="62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发展和改革局</w:t>
      </w:r>
      <w:r>
        <w:rPr>
          <w:rFonts w:hint="eastAsia" w:ascii="仿宋_GB2312" w:hAnsi="楷体" w:eastAsia="仿宋_GB2312"/>
          <w:sz w:val="32"/>
          <w:szCs w:val="32"/>
        </w:rPr>
        <w:t>：</w:t>
      </w:r>
      <w:r>
        <w:rPr>
          <w:rFonts w:hint="eastAsia" w:ascii="仿宋_GB2312" w:hAnsi="楷体" w:eastAsia="仿宋_GB2312"/>
          <w:sz w:val="32"/>
          <w:szCs w:val="32"/>
          <w:lang w:val="en-US" w:eastAsia="zh-CN"/>
        </w:rPr>
        <w:t>按照管委会年度建设计划，做好符合条件的特种设备事故应急体系政府投资基本建设项目的项目建议书及可行性研究报告的审批工作。</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属地派出所：负责组织做好</w:t>
      </w:r>
      <w:r>
        <w:rPr>
          <w:rFonts w:hint="eastAsia" w:ascii="仿宋_GB2312" w:hAnsi="楷体" w:eastAsia="仿宋_GB2312"/>
          <w:sz w:val="32"/>
          <w:szCs w:val="32"/>
          <w:lang w:val="en-US" w:eastAsia="zh-CN"/>
        </w:rPr>
        <w:t>特种设备事故的应急救援准备、事发现场治安秩序和交通疏导等工作</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交警支队滨海大队：</w:t>
      </w:r>
      <w:r>
        <w:rPr>
          <w:rFonts w:hint="eastAsia" w:ascii="仿宋_GB2312" w:eastAsia="仿宋_GB2312"/>
          <w:sz w:val="32"/>
          <w:szCs w:val="32"/>
        </w:rPr>
        <w:t>负责组织事故应急响应时的交通管制和疏导工作。</w:t>
      </w:r>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社会局：负责受伤人员的现场医疗救治、转运、院内救治和现场卫生防疫等工作；及时向指挥部报告伤员数量及医疗救治情况</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负责组织、指导做好死亡人员的遗体善后处置工作</w:t>
      </w:r>
      <w:r>
        <w:rPr>
          <w:rFonts w:hint="eastAsia" w:ascii="仿宋_GB2312" w:hAnsi="楷体" w:eastAsia="仿宋_GB2312"/>
          <w:sz w:val="32"/>
          <w:szCs w:val="32"/>
        </w:rPr>
        <w:t>。</w:t>
      </w:r>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财政局：负责为特种设备事故应急处置工作提供资金保障。</w:t>
      </w:r>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生态环境局：</w:t>
      </w:r>
      <w:r>
        <w:rPr>
          <w:rFonts w:hint="eastAsia" w:ascii="仿宋_GB2312" w:hAnsi="楷体" w:eastAsia="仿宋_GB2312"/>
          <w:sz w:val="32"/>
          <w:szCs w:val="32"/>
          <w:lang w:val="en-US" w:eastAsia="zh-CN"/>
        </w:rPr>
        <w:t>在特种设备事故中涉及环境事件时启动环境事件相关预案，提出相应环境突发事件的处置措施建议，负责组织实施现场污染环境监测，对建立和解除污染警报的时间和区域提出建议</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建设局：按有关法律、法规</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检查</w:t>
      </w:r>
      <w:r>
        <w:rPr>
          <w:rFonts w:hint="eastAsia" w:ascii="仿宋_GB2312" w:hAnsi="楷体" w:eastAsia="仿宋_GB2312"/>
          <w:sz w:val="32"/>
          <w:szCs w:val="32"/>
        </w:rPr>
        <w:t>安装单位</w:t>
      </w:r>
      <w:r>
        <w:rPr>
          <w:rFonts w:hint="eastAsia" w:ascii="仿宋_GB2312" w:hAnsi="楷体" w:eastAsia="仿宋_GB2312"/>
          <w:sz w:val="32"/>
          <w:szCs w:val="32"/>
          <w:lang w:eastAsia="zh-CN"/>
        </w:rPr>
        <w:t>，</w:t>
      </w:r>
      <w:r>
        <w:rPr>
          <w:rFonts w:hint="eastAsia" w:ascii="仿宋_GB2312" w:hAnsi="楷体" w:eastAsia="仿宋_GB2312"/>
          <w:sz w:val="32"/>
          <w:szCs w:val="32"/>
        </w:rPr>
        <w:t>使用单位</w:t>
      </w:r>
      <w:r>
        <w:rPr>
          <w:rFonts w:hint="eastAsia" w:ascii="仿宋_GB2312" w:hAnsi="楷体" w:eastAsia="仿宋_GB2312"/>
          <w:sz w:val="32"/>
          <w:szCs w:val="32"/>
          <w:lang w:val="en-US" w:eastAsia="zh-CN"/>
        </w:rPr>
        <w:t>是否</w:t>
      </w:r>
      <w:r>
        <w:rPr>
          <w:rFonts w:hint="eastAsia" w:ascii="仿宋_GB2312" w:hAnsi="楷体" w:eastAsia="仿宋_GB2312"/>
          <w:sz w:val="32"/>
          <w:szCs w:val="32"/>
        </w:rPr>
        <w:t>制定房屋建筑工地和市政工程工地内起重机械安装、拆卸工程生产安全事故应急救援预案和建筑起重机械生产安全事故应急救援预案；参与房屋建筑工地和市政工程工地起重机械、场（厂）内专用机动车辆事故的调查工作；与生态城市场监管局建立应急联系机制，做到信息共享。</w:t>
      </w:r>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城市管理局：</w:t>
      </w:r>
      <w:r>
        <w:rPr>
          <w:rFonts w:hint="eastAsia" w:ascii="仿宋_GB2312" w:hAnsi="楷体" w:eastAsia="仿宋_GB2312"/>
          <w:sz w:val="32"/>
          <w:szCs w:val="32"/>
          <w:lang w:val="en-US" w:eastAsia="zh-CN"/>
        </w:rPr>
        <w:t>指挥协调城市燃气（管道）事故的应急处置行动；参与交通运输行业特种设备事故应急和善后处理工作；与市场监管局建立应急联系机制，做到信息共享</w:t>
      </w:r>
      <w:r>
        <w:rPr>
          <w:rFonts w:hint="eastAsia" w:ascii="仿宋_GB2312" w:hAnsi="楷体" w:eastAsia="仿宋_GB2312"/>
          <w:sz w:val="32"/>
          <w:szCs w:val="32"/>
        </w:rPr>
        <w:t>。</w:t>
      </w:r>
    </w:p>
    <w:p>
      <w:pPr>
        <w:adjustRightInd w:val="0"/>
        <w:snapToGrid w:val="0"/>
        <w:spacing w:line="62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消防大队：作为突发事件的基本救援力量，完成好灭火、救援等应急救援工作。</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lang w:val="en-US" w:eastAsia="zh-CN"/>
        </w:rPr>
        <w:t>科技创新局</w:t>
      </w:r>
      <w:r>
        <w:rPr>
          <w:rFonts w:hint="eastAsia" w:ascii="仿宋_GB2312" w:hAnsi="楷体" w:eastAsia="仿宋_GB2312"/>
          <w:sz w:val="32"/>
          <w:szCs w:val="32"/>
        </w:rPr>
        <w:t>：负责协调辖区内基础电信企业，由相应的基础电信企业做好现场事故应急通信保障工作。</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总工会：参与一般特种设备事故调查处理，保障职工权益。</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滨海供电分公司生态城营业所：负责保障事故应急现场的临时供电，满足应急处置</w:t>
      </w:r>
      <w:r>
        <w:rPr>
          <w:rFonts w:hint="eastAsia" w:ascii="仿宋_GB2312" w:hAnsi="楷体" w:eastAsia="仿宋_GB2312"/>
          <w:sz w:val="32"/>
          <w:szCs w:val="32"/>
          <w:lang w:val="en-US" w:eastAsia="zh-CN"/>
        </w:rPr>
        <w:t>用电</w:t>
      </w:r>
      <w:r>
        <w:rPr>
          <w:rFonts w:hint="eastAsia" w:ascii="仿宋_GB2312" w:hAnsi="楷体" w:eastAsia="仿宋_GB2312"/>
          <w:sz w:val="32"/>
          <w:szCs w:val="32"/>
        </w:rPr>
        <w:t>需要。</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其他有关单位：根据事故应急需要，积极配合相关工作。</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0" w:name="_Toc3771"/>
      <w:r>
        <w:rPr>
          <w:rFonts w:hint="eastAsia" w:ascii="楷体_GB2312" w:hAnsi="楷体_GB2312" w:eastAsia="楷体_GB2312" w:cs="楷体_GB2312"/>
        </w:rPr>
        <w:t>2.4 工作组</w:t>
      </w:r>
      <w:bookmarkEnd w:id="10"/>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根据应急处置工作需要，指挥部设立1个或多个应急工作组：</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 2.4.1 </w:t>
      </w:r>
      <w:r>
        <w:rPr>
          <w:rFonts w:hint="eastAsia" w:ascii="仿宋_GB2312" w:hAnsi="楷体" w:eastAsia="仿宋_GB2312"/>
          <w:sz w:val="32"/>
          <w:szCs w:val="32"/>
        </w:rPr>
        <w:t>现场抢险救援组：由市场监管局、应急管理局、属地派出所、交警大队、消防大队等部门组成，组织专家和抢险救援力量，开展现场处置。根据需要，随时调遣后续处置和增援队伍。根据情况可下设3个小组：</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人员搜救小组：</w:t>
      </w:r>
      <w:r>
        <w:rPr>
          <w:rFonts w:hint="eastAsia" w:ascii="仿宋_GB2312" w:hAnsi="楷体" w:eastAsia="仿宋_GB2312"/>
          <w:sz w:val="32"/>
          <w:szCs w:val="32"/>
          <w:lang w:val="en-US" w:eastAsia="zh-CN"/>
        </w:rPr>
        <w:t>消防大队</w:t>
      </w:r>
      <w:r>
        <w:rPr>
          <w:rFonts w:hint="eastAsia" w:ascii="仿宋_GB2312" w:hAnsi="楷体" w:eastAsia="仿宋_GB2312"/>
          <w:sz w:val="32"/>
          <w:szCs w:val="32"/>
        </w:rPr>
        <w:t>为组长单位。由</w:t>
      </w:r>
      <w:r>
        <w:rPr>
          <w:rFonts w:hint="eastAsia" w:ascii="仿宋_GB2312" w:hAnsi="楷体" w:eastAsia="仿宋_GB2312"/>
          <w:sz w:val="32"/>
          <w:szCs w:val="32"/>
          <w:lang w:val="en-US" w:eastAsia="zh-CN"/>
        </w:rPr>
        <w:t>消防大队、</w:t>
      </w:r>
      <w:r>
        <w:rPr>
          <w:rFonts w:hint="eastAsia" w:ascii="仿宋_GB2312" w:hAnsi="楷体" w:eastAsia="仿宋_GB2312"/>
          <w:sz w:val="32"/>
          <w:szCs w:val="32"/>
        </w:rPr>
        <w:t>属地派出所和社会局组成，负责事故现场伤员抢救和医疗救护工作。</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消防消毒小组：消防大队为组长单位。负责事故现场的消防灭火、喷淋降温和喷淋消毒。</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隐患处置小组：市场监管局为组长单位。由市场监管局、应急管理局、属地派出所、</w:t>
      </w:r>
      <w:r>
        <w:rPr>
          <w:rFonts w:hint="eastAsia" w:ascii="仿宋_GB2312" w:hAnsi="楷体" w:eastAsia="仿宋_GB2312"/>
          <w:sz w:val="32"/>
          <w:szCs w:val="32"/>
          <w:lang w:val="en-US" w:eastAsia="zh-CN"/>
        </w:rPr>
        <w:t>交警大队、</w:t>
      </w:r>
      <w:r>
        <w:rPr>
          <w:rFonts w:hint="eastAsia" w:ascii="仿宋_GB2312" w:hAnsi="楷体" w:eastAsia="仿宋_GB2312"/>
          <w:sz w:val="32"/>
          <w:szCs w:val="32"/>
        </w:rPr>
        <w:t>消防大队和事故发生单位、专业应急救援机构组成，负责分析可能存在的其他危害，在技术专家组的指导下，专业应急救援机构消除和处置可能造成次生危害的隐患。</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2.4.2 </w:t>
      </w:r>
      <w:r>
        <w:rPr>
          <w:rFonts w:hint="eastAsia" w:ascii="仿宋_GB2312" w:hAnsi="楷体" w:eastAsia="仿宋_GB2312"/>
          <w:sz w:val="32"/>
          <w:szCs w:val="32"/>
        </w:rPr>
        <w:t>治安警戒组：属地派出所为组长单位。由属地派出所和交警大队等部门组成，负责设立警戒区并实施警戒工作，维护社会治安秩序；保护事故现场，负责事故发生地的交通管制工作，确保抢险、救援、救护、物资运输通畅。</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2.4.3 </w:t>
      </w:r>
      <w:r>
        <w:rPr>
          <w:rFonts w:hint="eastAsia" w:ascii="仿宋_GB2312" w:hAnsi="楷体" w:eastAsia="仿宋_GB2312"/>
          <w:sz w:val="32"/>
          <w:szCs w:val="32"/>
        </w:rPr>
        <w:t>技术专家组：由指挥部组织有关技术专家，负责对事故原因、可能造成的危害进行分析评估，提出处置建议。</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2.4.4 </w:t>
      </w:r>
      <w:r>
        <w:rPr>
          <w:rFonts w:hint="eastAsia" w:ascii="仿宋_GB2312" w:hAnsi="楷体" w:eastAsia="仿宋_GB2312"/>
          <w:sz w:val="32"/>
          <w:szCs w:val="32"/>
        </w:rPr>
        <w:t>动员疏散安置组：</w:t>
      </w:r>
      <w:r>
        <w:rPr>
          <w:rFonts w:hint="eastAsia" w:ascii="仿宋_GB2312" w:hAnsi="楷体" w:eastAsia="仿宋_GB2312"/>
          <w:sz w:val="32"/>
          <w:szCs w:val="32"/>
          <w:lang w:val="en-US" w:eastAsia="zh-CN"/>
        </w:rPr>
        <w:t>指挥部办公室</w:t>
      </w:r>
      <w:r>
        <w:rPr>
          <w:rFonts w:hint="eastAsia" w:ascii="仿宋_GB2312" w:hAnsi="楷体" w:eastAsia="仿宋_GB2312"/>
          <w:sz w:val="32"/>
          <w:szCs w:val="32"/>
        </w:rPr>
        <w:t>为组长单位。由</w:t>
      </w:r>
      <w:r>
        <w:rPr>
          <w:rFonts w:hint="eastAsia" w:ascii="仿宋_GB2312" w:hAnsi="楷体" w:eastAsia="仿宋_GB2312"/>
          <w:sz w:val="32"/>
          <w:szCs w:val="32"/>
          <w:lang w:val="en-US" w:eastAsia="zh-CN"/>
        </w:rPr>
        <w:t>应急局、</w:t>
      </w:r>
      <w:r>
        <w:rPr>
          <w:rFonts w:hint="eastAsia" w:ascii="仿宋_GB2312" w:hAnsi="楷体" w:eastAsia="仿宋_GB2312"/>
          <w:sz w:val="32"/>
          <w:szCs w:val="32"/>
        </w:rPr>
        <w:t>社会局、总工会、属地派出所、消防大队组成，负责紧急状况下人员的疏散安置和火源消除工作，负责组织实施社会救济，负责动员组织企事业单位、社会团体、社会志愿人员参与应急处置工作。</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2.4.5 </w:t>
      </w:r>
      <w:r>
        <w:rPr>
          <w:rFonts w:hint="eastAsia" w:ascii="仿宋_GB2312" w:hAnsi="楷体" w:eastAsia="仿宋_GB2312"/>
          <w:sz w:val="32"/>
          <w:szCs w:val="32"/>
        </w:rPr>
        <w:t>环境监测组：生态环境局为组长单位。由生态环境局、应急管理局组成，生态环境局负责对事故现场环境实施监测，应急管理局负责联系区气象局提供事故现场气象观测与预报资料。</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2.4.6</w:t>
      </w:r>
      <w:r>
        <w:rPr>
          <w:rFonts w:hint="eastAsia" w:ascii="仿宋_GB2312" w:hAnsi="楷体" w:eastAsia="仿宋_GB2312"/>
          <w:sz w:val="32"/>
          <w:szCs w:val="32"/>
        </w:rPr>
        <w:t>通讯报道组：</w:t>
      </w:r>
      <w:r>
        <w:rPr>
          <w:rFonts w:hint="eastAsia" w:ascii="仿宋_GB2312" w:hAnsi="楷体" w:eastAsia="仿宋_GB2312"/>
          <w:sz w:val="32"/>
          <w:szCs w:val="32"/>
          <w:lang w:val="en-US" w:eastAsia="zh-CN"/>
        </w:rPr>
        <w:t>党委办为组长单位。由党委办、应急局、市场监管局等部门</w:t>
      </w:r>
      <w:r>
        <w:rPr>
          <w:rFonts w:hint="eastAsia" w:ascii="仿宋_GB2312" w:hAnsi="楷体" w:eastAsia="仿宋_GB2312"/>
          <w:sz w:val="32"/>
          <w:szCs w:val="32"/>
        </w:rPr>
        <w:t>组成。负责事故应急处置</w:t>
      </w:r>
      <w:r>
        <w:rPr>
          <w:rFonts w:hint="eastAsia" w:ascii="仿宋_GB2312" w:hAnsi="楷体" w:eastAsia="仿宋_GB2312"/>
          <w:sz w:val="32"/>
          <w:szCs w:val="32"/>
          <w:lang w:val="en-US" w:eastAsia="zh-CN"/>
        </w:rPr>
        <w:t>期间工作记录、新闻发布、宣传报道和信息工作</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2.4.7 </w:t>
      </w:r>
      <w:r>
        <w:rPr>
          <w:rFonts w:hint="eastAsia" w:ascii="仿宋_GB2312" w:hAnsi="楷体" w:eastAsia="仿宋_GB2312"/>
          <w:sz w:val="32"/>
          <w:szCs w:val="32"/>
        </w:rPr>
        <w:t>综合保障组：由指挥部办公室组织事故发生单位及有关部门组成，负责事故应急过程中现场指挥部指令传达，以及事务协调、信息收集传递、会务、文印等工作；负责救援物资调拨和事故应急期间全体参加人员后勤保障工作；负责事故救援现场的临时电力供应和通信信息保障工作。</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1" w:name="_Toc4973"/>
      <w:r>
        <w:rPr>
          <w:rFonts w:hint="eastAsia" w:ascii="楷体_GB2312" w:hAnsi="楷体_GB2312" w:eastAsia="楷体_GB2312" w:cs="楷体_GB2312"/>
        </w:rPr>
        <w:t>2.5 现场指挥部</w:t>
      </w:r>
      <w:bookmarkEnd w:id="11"/>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2.5.1 </w:t>
      </w:r>
      <w:r>
        <w:rPr>
          <w:rFonts w:hint="eastAsia" w:ascii="仿宋_GB2312" w:hAnsi="楷体" w:eastAsia="仿宋_GB2312"/>
          <w:sz w:val="32"/>
          <w:szCs w:val="32"/>
        </w:rPr>
        <w:t>根据管委会部署和工作需要，组建现场指挥部，由总指挥、副总指挥和各工作组组长组成，实行现场总指挥负责制。</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2.5.2 </w:t>
      </w:r>
      <w:r>
        <w:rPr>
          <w:rFonts w:hint="eastAsia" w:ascii="仿宋_GB2312" w:hAnsi="楷体" w:eastAsia="仿宋_GB2312"/>
          <w:sz w:val="32"/>
          <w:szCs w:val="32"/>
        </w:rPr>
        <w:t>现场指挥部的工作职责是：全力组织伤员救治、人员疏散转移和群众安置工作，维护现场治安和交通秩序；调动应急救援队伍，调集应急救援物资装备，开展应急处置工作；随时向生态城及上级应急指挥中心报告处置进展情况。</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2.5.3</w:t>
      </w:r>
      <w:r>
        <w:rPr>
          <w:rFonts w:hint="eastAsia" w:ascii="仿宋_GB2312" w:hAnsi="楷体" w:eastAsia="仿宋_GB2312"/>
          <w:sz w:val="32"/>
          <w:szCs w:val="32"/>
        </w:rPr>
        <w:t>市场监管局、应急管理局、属地派出所、交警大队、消防大队、社会局、生态环境局等相关部门应在现场指挥部的领导下，按照各自职责积极开展应急救援工作。</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2" w:name="_Toc22934"/>
      <w:r>
        <w:rPr>
          <w:rFonts w:hint="eastAsia" w:ascii="楷体_GB2312" w:hAnsi="楷体_GB2312" w:eastAsia="楷体_GB2312" w:cs="楷体_GB2312"/>
        </w:rPr>
        <w:t>2.6应急救援专家组</w:t>
      </w:r>
      <w:bookmarkEnd w:id="12"/>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指挥部办公室</w:t>
      </w:r>
      <w:r>
        <w:rPr>
          <w:rFonts w:hint="eastAsia" w:ascii="仿宋_GB2312" w:hAnsi="楷体_GB2312" w:eastAsia="仿宋_GB2312" w:cs="楷体_GB2312"/>
          <w:bCs/>
          <w:sz w:val="32"/>
          <w:szCs w:val="32"/>
        </w:rPr>
        <w:t>成立应急救援专家组，为应急救援提供技术支持。必要时，应急救援专家组直接参与应急处置工作，协助事故现场指挥部判断事故危害发展的趋势、程度，分析研判事故原因，提出应急救援措施和建议，为现场应急救援指挥部的决策提供依据和方案</w:t>
      </w:r>
      <w:r>
        <w:rPr>
          <w:rFonts w:hint="eastAsia" w:ascii="仿宋_GB2312" w:hAnsi="楷体" w:eastAsia="仿宋_GB2312"/>
          <w:sz w:val="32"/>
          <w:szCs w:val="32"/>
        </w:rPr>
        <w:t>。</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3" w:name="_Toc26060"/>
      <w:r>
        <w:rPr>
          <w:rFonts w:hint="eastAsia" w:ascii="楷体_GB2312" w:hAnsi="楷体_GB2312" w:eastAsia="楷体_GB2312" w:cs="楷体_GB2312"/>
        </w:rPr>
        <w:t>2.7 各特种设备使用单位应急机构</w:t>
      </w:r>
      <w:bookmarkEnd w:id="13"/>
    </w:p>
    <w:p>
      <w:pPr>
        <w:adjustRightInd w:val="0"/>
        <w:snapToGrid w:val="0"/>
        <w:spacing w:line="62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各特种设备使用单位应成立相应的特种设备事故应急指挥机构，在本单位使用的特种设备发生事故时第一时间进行应急处置工作；根据本单位使用的特种设备危险源的分布及特点，依法组织制定本单位的特种设备事故应急预案</w:t>
      </w:r>
      <w:r>
        <w:rPr>
          <w:rFonts w:hint="eastAsia" w:ascii="仿宋_GB2312" w:hAnsi="楷体" w:eastAsia="仿宋_GB2312"/>
          <w:sz w:val="32"/>
          <w:szCs w:val="32"/>
          <w:lang w:eastAsia="zh-CN"/>
        </w:rPr>
        <w:t>。</w:t>
      </w:r>
    </w:p>
    <w:p>
      <w:pPr>
        <w:pStyle w:val="2"/>
        <w:keepNext w:val="0"/>
        <w:keepLines w:val="0"/>
        <w:adjustRightInd w:val="0"/>
        <w:snapToGrid w:val="0"/>
        <w:spacing w:before="0" w:after="0" w:line="620" w:lineRule="exact"/>
        <w:ind w:firstLine="643" w:firstLineChars="200"/>
        <w:rPr>
          <w:rFonts w:ascii="黑体" w:hAnsi="黑体" w:eastAsia="黑体" w:cs="MicrosoftYaHei"/>
          <w:kern w:val="0"/>
          <w:sz w:val="32"/>
          <w:szCs w:val="32"/>
        </w:rPr>
      </w:pPr>
      <w:bookmarkStart w:id="14" w:name="_Toc21196"/>
      <w:r>
        <w:rPr>
          <w:rFonts w:hint="eastAsia" w:ascii="黑体" w:hAnsi="黑体" w:eastAsia="黑体" w:cs="MicrosoftYaHei"/>
          <w:kern w:val="0"/>
          <w:sz w:val="32"/>
          <w:szCs w:val="32"/>
        </w:rPr>
        <w:t xml:space="preserve">3 </w:t>
      </w:r>
      <w:r>
        <w:rPr>
          <w:rFonts w:hint="eastAsia" w:ascii="黑体" w:hAnsi="黑体" w:eastAsia="黑体" w:cs="宋体"/>
          <w:kern w:val="0"/>
          <w:sz w:val="32"/>
          <w:szCs w:val="32"/>
        </w:rPr>
        <w:t>监测</w:t>
      </w:r>
      <w:r>
        <w:rPr>
          <w:rFonts w:hint="eastAsia" w:ascii="黑体" w:hAnsi="黑体" w:eastAsia="黑体" w:cs="MS Mincho"/>
          <w:kern w:val="0"/>
          <w:sz w:val="32"/>
          <w:szCs w:val="32"/>
        </w:rPr>
        <w:t>与</w:t>
      </w:r>
      <w:r>
        <w:rPr>
          <w:rFonts w:hint="eastAsia" w:ascii="黑体" w:hAnsi="黑体" w:eastAsia="黑体" w:cs="宋体"/>
          <w:kern w:val="0"/>
          <w:sz w:val="32"/>
          <w:szCs w:val="32"/>
        </w:rPr>
        <w:t>预</w:t>
      </w:r>
      <w:r>
        <w:rPr>
          <w:rFonts w:hint="eastAsia" w:ascii="黑体" w:hAnsi="黑体" w:eastAsia="黑体" w:cs="MS Mincho"/>
          <w:kern w:val="0"/>
          <w:sz w:val="32"/>
          <w:szCs w:val="32"/>
        </w:rPr>
        <w:t>警</w:t>
      </w:r>
      <w:bookmarkEnd w:id="14"/>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5" w:name="_Toc3544"/>
      <w:r>
        <w:rPr>
          <w:rFonts w:hint="eastAsia" w:ascii="楷体_GB2312" w:hAnsi="楷体_GB2312" w:eastAsia="楷体_GB2312" w:cs="楷体_GB2312"/>
        </w:rPr>
        <w:t>3.1 监测</w:t>
      </w:r>
      <w:bookmarkEnd w:id="15"/>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 xml:space="preserve">3.1.1 </w:t>
      </w:r>
      <w:r>
        <w:rPr>
          <w:rFonts w:hint="eastAsia" w:ascii="仿宋_GB2312" w:hAnsi="Calibri-Bold" w:eastAsia="仿宋_GB2312" w:cs="MicrosoftYaHei"/>
          <w:kern w:val="0"/>
          <w:sz w:val="32"/>
          <w:szCs w:val="32"/>
        </w:rPr>
        <w:t>指</w:t>
      </w:r>
      <w:r>
        <w:rPr>
          <w:rFonts w:hint="eastAsia" w:ascii="仿宋_GB2312" w:hAnsi="宋体" w:eastAsia="仿宋_GB2312" w:cs="宋体"/>
          <w:kern w:val="0"/>
          <w:sz w:val="32"/>
          <w:szCs w:val="32"/>
        </w:rPr>
        <w:t>挥</w:t>
      </w:r>
      <w:r>
        <w:rPr>
          <w:rFonts w:hint="eastAsia" w:ascii="仿宋_GB2312" w:hAnsi="MS Mincho" w:eastAsia="仿宋_GB2312" w:cs="MS Mincho"/>
          <w:kern w:val="0"/>
          <w:sz w:val="32"/>
          <w:szCs w:val="32"/>
        </w:rPr>
        <w:t>部</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公室和相关成</w:t>
      </w:r>
      <w:r>
        <w:rPr>
          <w:rFonts w:hint="eastAsia" w:ascii="仿宋_GB2312" w:hAnsi="宋体" w:eastAsia="仿宋_GB2312" w:cs="宋体"/>
          <w:kern w:val="0"/>
          <w:sz w:val="32"/>
          <w:szCs w:val="32"/>
        </w:rPr>
        <w:t>员单</w:t>
      </w:r>
      <w:r>
        <w:rPr>
          <w:rFonts w:hint="eastAsia" w:ascii="仿宋_GB2312" w:hAnsi="MS Mincho" w:eastAsia="仿宋_GB2312" w:cs="MS Mincho"/>
          <w:kern w:val="0"/>
          <w:sz w:val="32"/>
          <w:szCs w:val="32"/>
        </w:rPr>
        <w:t>位按照相关法律、法</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标</w:t>
      </w:r>
      <w:r>
        <w:rPr>
          <w:rFonts w:hint="eastAsia" w:ascii="仿宋_GB2312" w:hAnsi="Calibri-Bold" w:eastAsia="仿宋_GB2312" w:cs="MicrosoftYaHei"/>
          <w:kern w:val="0"/>
          <w:sz w:val="32"/>
          <w:szCs w:val="32"/>
        </w:rPr>
        <w:t>准的要求，</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特种</w:t>
      </w:r>
      <w:r>
        <w:rPr>
          <w:rFonts w:hint="eastAsia" w:ascii="仿宋_GB2312" w:hAnsi="宋体" w:eastAsia="仿宋_GB2312" w:cs="宋体"/>
          <w:kern w:val="0"/>
          <w:sz w:val="32"/>
          <w:szCs w:val="32"/>
        </w:rPr>
        <w:t>设备进</w:t>
      </w:r>
      <w:r>
        <w:rPr>
          <w:rFonts w:hint="eastAsia" w:ascii="仿宋_GB2312" w:hAnsi="MS Mincho" w:eastAsia="仿宋_GB2312" w:cs="MS Mincho"/>
          <w:kern w:val="0"/>
          <w:sz w:val="32"/>
          <w:szCs w:val="32"/>
        </w:rPr>
        <w:t>行分</w:t>
      </w:r>
      <w:r>
        <w:rPr>
          <w:rFonts w:hint="eastAsia" w:ascii="仿宋_GB2312" w:hAnsi="宋体" w:eastAsia="仿宋_GB2312" w:cs="宋体"/>
          <w:kern w:val="0"/>
          <w:sz w:val="32"/>
          <w:szCs w:val="32"/>
        </w:rPr>
        <w:t>类监</w:t>
      </w:r>
      <w:r>
        <w:rPr>
          <w:rFonts w:hint="eastAsia" w:ascii="仿宋_GB2312" w:hAnsi="MS Mincho" w:eastAsia="仿宋_GB2312" w:cs="MS Mincho"/>
          <w:kern w:val="0"/>
          <w:sz w:val="32"/>
          <w:szCs w:val="32"/>
        </w:rPr>
        <w:t>管。使用</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位在</w:t>
      </w:r>
      <w:r>
        <w:rPr>
          <w:rFonts w:hint="eastAsia" w:ascii="仿宋_GB2312" w:hAnsi="宋体" w:eastAsia="仿宋_GB2312" w:cs="宋体"/>
          <w:kern w:val="0"/>
          <w:sz w:val="32"/>
          <w:szCs w:val="32"/>
        </w:rPr>
        <w:t>紧</w:t>
      </w:r>
      <w:r>
        <w:rPr>
          <w:rFonts w:hint="eastAsia" w:ascii="仿宋_GB2312" w:hAnsi="MS Mincho" w:eastAsia="仿宋_GB2312" w:cs="MS Mincho"/>
          <w:kern w:val="0"/>
          <w:sz w:val="32"/>
          <w:szCs w:val="32"/>
        </w:rPr>
        <w:t>急情况下向</w:t>
      </w:r>
      <w:r>
        <w:rPr>
          <w:rFonts w:hint="eastAsia" w:ascii="仿宋_GB2312" w:hAnsi="Calibri-Bold" w:eastAsia="仿宋_GB2312" w:cs="MicrosoftYaHei"/>
          <w:kern w:val="0"/>
          <w:sz w:val="32"/>
          <w:szCs w:val="32"/>
        </w:rPr>
        <w:t>市</w:t>
      </w:r>
      <w:r>
        <w:rPr>
          <w:rFonts w:hint="eastAsia" w:ascii="仿宋_GB2312" w:hAnsi="宋体" w:eastAsia="仿宋_GB2312" w:cs="宋体"/>
          <w:kern w:val="0"/>
          <w:sz w:val="32"/>
          <w:szCs w:val="32"/>
        </w:rPr>
        <w:t>场监</w:t>
      </w:r>
      <w:r>
        <w:rPr>
          <w:rFonts w:hint="eastAsia" w:ascii="仿宋_GB2312" w:hAnsi="MS Mincho" w:eastAsia="仿宋_GB2312" w:cs="MS Mincho"/>
          <w:kern w:val="0"/>
          <w:sz w:val="32"/>
          <w:szCs w:val="32"/>
        </w:rPr>
        <w:t>管局</w:t>
      </w:r>
      <w:r>
        <w:rPr>
          <w:rFonts w:hint="eastAsia" w:ascii="仿宋_GB2312" w:hAnsi="Calibri-Bold" w:eastAsia="仿宋_GB2312" w:cs="MicrosoftYaHei"/>
          <w:kern w:val="0"/>
          <w:sz w:val="32"/>
          <w:szCs w:val="32"/>
        </w:rPr>
        <w:t>电</w:t>
      </w:r>
      <w:r>
        <w:rPr>
          <w:rFonts w:hint="eastAsia" w:ascii="仿宋_GB2312" w:hAnsi="宋体" w:eastAsia="仿宋_GB2312" w:cs="宋体"/>
          <w:kern w:val="0"/>
          <w:sz w:val="32"/>
          <w:szCs w:val="32"/>
        </w:rPr>
        <w:t>话</w:t>
      </w:r>
      <w:r>
        <w:rPr>
          <w:rFonts w:hint="eastAsia" w:ascii="仿宋_GB2312" w:hAnsi="Calibri-Bold" w:eastAsia="仿宋_GB2312" w:cs="MicrosoftYaHei"/>
          <w:kern w:val="0"/>
          <w:sz w:val="32"/>
          <w:szCs w:val="32"/>
        </w:rPr>
        <w:t>报告</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警。</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 xml:space="preserve">3.1.2 </w:t>
      </w:r>
      <w:r>
        <w:rPr>
          <w:rFonts w:hint="eastAsia" w:ascii="仿宋_GB2312" w:hAnsi="Calibri-Bold" w:eastAsia="仿宋_GB2312" w:cs="MicrosoftYaHei"/>
          <w:kern w:val="0"/>
          <w:sz w:val="32"/>
          <w:szCs w:val="32"/>
        </w:rPr>
        <w:t>市</w:t>
      </w:r>
      <w:r>
        <w:rPr>
          <w:rFonts w:hint="eastAsia" w:ascii="仿宋_GB2312" w:hAnsi="宋体" w:eastAsia="仿宋_GB2312" w:cs="宋体"/>
          <w:kern w:val="0"/>
          <w:sz w:val="32"/>
          <w:szCs w:val="32"/>
        </w:rPr>
        <w:t>场监</w:t>
      </w:r>
      <w:r>
        <w:rPr>
          <w:rFonts w:hint="eastAsia" w:ascii="仿宋_GB2312" w:hAnsi="MS Mincho" w:eastAsia="仿宋_GB2312" w:cs="MS Mincho"/>
          <w:kern w:val="0"/>
          <w:sz w:val="32"/>
          <w:szCs w:val="32"/>
        </w:rPr>
        <w:t>管局要提高</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监</w:t>
      </w:r>
      <w:r>
        <w:rPr>
          <w:rFonts w:hint="eastAsia" w:ascii="仿宋_GB2312" w:hAnsi="MS Mincho" w:eastAsia="仿宋_GB2312" w:cs="MS Mincho"/>
          <w:kern w:val="0"/>
          <w:sz w:val="32"/>
          <w:szCs w:val="32"/>
        </w:rPr>
        <w:t>管工作的科</w:t>
      </w:r>
      <w:r>
        <w:rPr>
          <w:rFonts w:hint="eastAsia" w:ascii="仿宋_GB2312" w:hAnsi="Calibri-Bold" w:eastAsia="仿宋_GB2312" w:cs="MicrosoftYaHei"/>
          <w:kern w:val="0"/>
          <w:sz w:val="32"/>
          <w:szCs w:val="32"/>
        </w:rPr>
        <w:t>学性和有效性。逐步建立完善特种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监</w:t>
      </w:r>
      <w:r>
        <w:rPr>
          <w:rFonts w:hint="eastAsia" w:ascii="仿宋_GB2312" w:hAnsi="MS Mincho" w:eastAsia="仿宋_GB2312" w:cs="MS Mincho"/>
          <w:kern w:val="0"/>
          <w:sz w:val="32"/>
          <w:szCs w:val="32"/>
        </w:rPr>
        <w:t>察信息化系</w:t>
      </w:r>
      <w:r>
        <w:rPr>
          <w:rFonts w:hint="eastAsia" w:ascii="仿宋_GB2312" w:hAnsi="宋体" w:eastAsia="仿宋_GB2312" w:cs="宋体"/>
          <w:kern w:val="0"/>
          <w:sz w:val="32"/>
          <w:szCs w:val="32"/>
        </w:rPr>
        <w:t>统</w:t>
      </w:r>
      <w:r>
        <w:rPr>
          <w:rFonts w:hint="eastAsia" w:ascii="仿宋_GB2312" w:hAnsi="MS Mincho" w:eastAsia="仿宋_GB2312" w:cs="MS Mincho"/>
          <w:kern w:val="0"/>
          <w:sz w:val="32"/>
          <w:szCs w:val="32"/>
        </w:rPr>
        <w:t>。建立相</w:t>
      </w:r>
      <w:r>
        <w:rPr>
          <w:rFonts w:hint="eastAsia" w:ascii="仿宋_GB2312" w:hAnsi="Calibri-Bold" w:eastAsia="仿宋_GB2312" w:cs="MicrosoftYaHei"/>
          <w:kern w:val="0"/>
          <w:sz w:val="32"/>
          <w:szCs w:val="32"/>
        </w:rPr>
        <w:t>关信息支持平台，及</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、准确地</w:t>
      </w:r>
      <w:r>
        <w:rPr>
          <w:rFonts w:hint="eastAsia" w:ascii="仿宋_GB2312" w:hAnsi="宋体" w:eastAsia="仿宋_GB2312" w:cs="宋体"/>
          <w:kern w:val="0"/>
          <w:sz w:val="32"/>
          <w:szCs w:val="32"/>
        </w:rPr>
        <w:t>传递</w:t>
      </w:r>
      <w:r>
        <w:rPr>
          <w:rFonts w:hint="eastAsia" w:ascii="仿宋_GB2312" w:hAnsi="MS Mincho" w:eastAsia="仿宋_GB2312" w:cs="MS Mincho"/>
          <w:kern w:val="0"/>
          <w:sz w:val="32"/>
          <w:szCs w:val="32"/>
        </w:rPr>
        <w:t>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安全信息，及早</w:t>
      </w:r>
      <w:r>
        <w:rPr>
          <w:rFonts w:hint="eastAsia" w:ascii="仿宋_GB2312" w:hAnsi="宋体" w:eastAsia="仿宋_GB2312" w:cs="宋体"/>
          <w:kern w:val="0"/>
          <w:sz w:val="32"/>
          <w:szCs w:val="32"/>
        </w:rPr>
        <w:t>发现</w:t>
      </w:r>
      <w:r>
        <w:rPr>
          <w:rFonts w:hint="eastAsia" w:ascii="仿宋_GB2312" w:hAnsi="MS Mincho" w:eastAsia="仿宋_GB2312" w:cs="MS Mincho"/>
          <w:kern w:val="0"/>
          <w:sz w:val="32"/>
          <w:szCs w:val="32"/>
        </w:rPr>
        <w:t>事</w:t>
      </w:r>
      <w:r>
        <w:rPr>
          <w:rFonts w:hint="eastAsia" w:ascii="仿宋_GB2312" w:hAnsi="Calibri-Bold" w:eastAsia="仿宋_GB2312" w:cs="MicrosoftYaHei"/>
          <w:kern w:val="0"/>
          <w:sz w:val="32"/>
          <w:szCs w:val="32"/>
        </w:rPr>
        <w:t>故</w:t>
      </w:r>
      <w:r>
        <w:rPr>
          <w:rFonts w:hint="eastAsia" w:ascii="仿宋_GB2312" w:hAnsi="宋体" w:eastAsia="仿宋_GB2312" w:cs="宋体"/>
          <w:kern w:val="0"/>
          <w:sz w:val="32"/>
          <w:szCs w:val="32"/>
        </w:rPr>
        <w:t>隐</w:t>
      </w:r>
      <w:r>
        <w:rPr>
          <w:rFonts w:hint="eastAsia" w:ascii="仿宋_GB2312" w:hAnsi="MS Mincho" w:eastAsia="仿宋_GB2312" w:cs="MS Mincho"/>
          <w:kern w:val="0"/>
          <w:sz w:val="32"/>
          <w:szCs w:val="32"/>
        </w:rPr>
        <w:t>患，采取有效措施防止事故</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生。逐步建立并完</w:t>
      </w:r>
      <w:r>
        <w:rPr>
          <w:rFonts w:hint="eastAsia" w:ascii="仿宋_GB2312" w:hAnsi="Calibri-Bold" w:eastAsia="仿宋_GB2312" w:cs="MicrosoftYaHei"/>
          <w:kern w:val="0"/>
          <w:sz w:val="32"/>
          <w:szCs w:val="32"/>
        </w:rPr>
        <w:t>善特种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监</w:t>
      </w:r>
      <w:r>
        <w:rPr>
          <w:rFonts w:hint="eastAsia" w:ascii="仿宋_GB2312" w:hAnsi="MS Mincho" w:eastAsia="仿宋_GB2312" w:cs="MS Mincho"/>
          <w:kern w:val="0"/>
          <w:sz w:val="32"/>
          <w:szCs w:val="32"/>
        </w:rPr>
        <w:t>察网</w:t>
      </w:r>
      <w:r>
        <w:rPr>
          <w:rFonts w:hint="eastAsia" w:ascii="仿宋_GB2312" w:hAnsi="宋体" w:eastAsia="仿宋_GB2312" w:cs="宋体"/>
          <w:kern w:val="0"/>
          <w:sz w:val="32"/>
          <w:szCs w:val="32"/>
        </w:rPr>
        <w:t>络</w:t>
      </w:r>
      <w:r>
        <w:rPr>
          <w:rFonts w:hint="eastAsia" w:ascii="仿宋_GB2312" w:hAnsi="MS Mincho" w:eastAsia="仿宋_GB2312" w:cs="MS Mincho"/>
          <w:kern w:val="0"/>
          <w:sz w:val="32"/>
          <w:szCs w:val="32"/>
        </w:rPr>
        <w:t>，以市</w:t>
      </w:r>
      <w:r>
        <w:rPr>
          <w:rFonts w:hint="eastAsia" w:ascii="仿宋_GB2312" w:hAnsi="宋体" w:eastAsia="仿宋_GB2312" w:cs="宋体"/>
          <w:kern w:val="0"/>
          <w:sz w:val="32"/>
          <w:szCs w:val="32"/>
        </w:rPr>
        <w:t>场监</w:t>
      </w:r>
      <w:r>
        <w:rPr>
          <w:rFonts w:hint="eastAsia" w:ascii="仿宋_GB2312" w:hAnsi="MS Mincho" w:eastAsia="仿宋_GB2312" w:cs="MS Mincho"/>
          <w:kern w:val="0"/>
          <w:sz w:val="32"/>
          <w:szCs w:val="32"/>
        </w:rPr>
        <w:t>管部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的安全</w:t>
      </w:r>
      <w:r>
        <w:rPr>
          <w:rFonts w:hint="eastAsia" w:ascii="仿宋_GB2312" w:hAnsi="宋体" w:eastAsia="仿宋_GB2312" w:cs="宋体"/>
          <w:kern w:val="0"/>
          <w:sz w:val="32"/>
          <w:szCs w:val="32"/>
        </w:rPr>
        <w:t>监</w:t>
      </w:r>
      <w:r>
        <w:rPr>
          <w:rFonts w:hint="eastAsia" w:ascii="仿宋_GB2312" w:hAnsi="MS Mincho" w:eastAsia="仿宋_GB2312" w:cs="MS Mincho"/>
          <w:kern w:val="0"/>
          <w:sz w:val="32"/>
          <w:szCs w:val="32"/>
        </w:rPr>
        <w:t>察机构和住建部</w:t>
      </w:r>
      <w:r>
        <w:rPr>
          <w:rFonts w:hint="eastAsia" w:ascii="仿宋_GB2312" w:hAnsi="宋体" w:eastAsia="仿宋_GB2312" w:cs="宋体"/>
          <w:kern w:val="0"/>
          <w:sz w:val="32"/>
          <w:szCs w:val="32"/>
        </w:rPr>
        <w:t>门为</w:t>
      </w:r>
      <w:r>
        <w:rPr>
          <w:rFonts w:hint="eastAsia" w:ascii="仿宋_GB2312" w:hAnsi="MS Mincho" w:eastAsia="仿宋_GB2312" w:cs="MS Mincho"/>
          <w:kern w:val="0"/>
          <w:sz w:val="32"/>
          <w:szCs w:val="32"/>
        </w:rPr>
        <w:t>主体，</w:t>
      </w:r>
      <w:r>
        <w:rPr>
          <w:rFonts w:hint="eastAsia" w:ascii="仿宋_GB2312" w:hAnsi="宋体" w:eastAsia="仿宋_GB2312" w:cs="宋体"/>
          <w:kern w:val="0"/>
          <w:sz w:val="32"/>
          <w:szCs w:val="32"/>
        </w:rPr>
        <w:t>积</w:t>
      </w:r>
      <w:r>
        <w:rPr>
          <w:rFonts w:hint="eastAsia" w:ascii="仿宋_GB2312" w:hAnsi="MS Mincho" w:eastAsia="仿宋_GB2312" w:cs="MS Mincho"/>
          <w:kern w:val="0"/>
          <w:sz w:val="32"/>
          <w:szCs w:val="32"/>
        </w:rPr>
        <w:t>极</w:t>
      </w:r>
      <w:r>
        <w:rPr>
          <w:rFonts w:hint="eastAsia" w:ascii="仿宋_GB2312" w:hAnsi="宋体" w:eastAsia="仿宋_GB2312" w:cs="宋体"/>
          <w:kern w:val="0"/>
          <w:sz w:val="32"/>
          <w:szCs w:val="32"/>
        </w:rPr>
        <w:t>发挥专职执</w:t>
      </w:r>
      <w:r>
        <w:rPr>
          <w:rFonts w:hint="eastAsia" w:ascii="仿宋_GB2312" w:hAnsi="MS Mincho" w:eastAsia="仿宋_GB2312" w:cs="MS Mincho"/>
          <w:kern w:val="0"/>
          <w:sz w:val="32"/>
          <w:szCs w:val="32"/>
        </w:rPr>
        <w:t>法机构、</w:t>
      </w:r>
      <w:r>
        <w:rPr>
          <w:rFonts w:hint="eastAsia" w:ascii="仿宋_GB2312" w:hAnsi="宋体" w:eastAsia="仿宋_GB2312" w:cs="宋体"/>
          <w:kern w:val="0"/>
          <w:sz w:val="32"/>
          <w:szCs w:val="32"/>
        </w:rPr>
        <w:t>检验检测</w:t>
      </w:r>
      <w:r>
        <w:rPr>
          <w:rFonts w:hint="eastAsia" w:ascii="仿宋_GB2312" w:hAnsi="MS Mincho" w:eastAsia="仿宋_GB2312" w:cs="MS Mincho"/>
          <w:kern w:val="0"/>
          <w:sz w:val="32"/>
          <w:szCs w:val="32"/>
        </w:rPr>
        <w:t>机构、社区</w:t>
      </w:r>
      <w:r>
        <w:rPr>
          <w:rFonts w:hint="eastAsia" w:ascii="仿宋_GB2312" w:hAnsi="Calibri-Bold" w:eastAsia="仿宋_GB2312" w:cs="MicrosoftYaHei"/>
          <w:kern w:val="0"/>
          <w:sz w:val="32"/>
          <w:szCs w:val="32"/>
        </w:rPr>
        <w:t>、大型企</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和社会力量的作用，及</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掌握特种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安全状况。</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 xml:space="preserve">3.1.3 </w:t>
      </w:r>
      <w:r>
        <w:rPr>
          <w:rFonts w:hint="eastAsia" w:ascii="仿宋_GB2312" w:hAnsi="Calibri-Bold" w:eastAsia="仿宋_GB2312" w:cs="MicrosoftYaHei"/>
          <w:kern w:val="0"/>
          <w:sz w:val="32"/>
          <w:szCs w:val="32"/>
        </w:rPr>
        <w:t>市</w:t>
      </w:r>
      <w:r>
        <w:rPr>
          <w:rFonts w:hint="eastAsia" w:ascii="仿宋_GB2312" w:hAnsi="宋体" w:eastAsia="仿宋_GB2312" w:cs="宋体"/>
          <w:kern w:val="0"/>
          <w:sz w:val="32"/>
          <w:szCs w:val="32"/>
        </w:rPr>
        <w:t>场监</w:t>
      </w:r>
      <w:r>
        <w:rPr>
          <w:rFonts w:hint="eastAsia" w:ascii="仿宋_GB2312" w:hAnsi="MS Mincho" w:eastAsia="仿宋_GB2312" w:cs="MS Mincho"/>
          <w:kern w:val="0"/>
          <w:sz w:val="32"/>
          <w:szCs w:val="32"/>
        </w:rPr>
        <w:t>管局</w:t>
      </w:r>
      <w:r>
        <w:rPr>
          <w:rFonts w:hint="eastAsia" w:ascii="仿宋_GB2312" w:hAnsi="宋体" w:eastAsia="仿宋_GB2312" w:cs="宋体"/>
          <w:kern w:val="0"/>
          <w:sz w:val="32"/>
          <w:szCs w:val="32"/>
        </w:rPr>
        <w:t>应强</w:t>
      </w:r>
      <w:r>
        <w:rPr>
          <w:rFonts w:hint="eastAsia" w:ascii="仿宋_GB2312" w:hAnsi="MS Mincho" w:eastAsia="仿宋_GB2312" w:cs="MS Mincho"/>
          <w:kern w:val="0"/>
          <w:sz w:val="32"/>
          <w:szCs w:val="32"/>
        </w:rPr>
        <w:t>化</w:t>
      </w:r>
      <w:r>
        <w:rPr>
          <w:rFonts w:hint="eastAsia" w:ascii="仿宋_GB2312" w:hAnsi="宋体" w:eastAsia="仿宋_GB2312" w:cs="宋体"/>
          <w:kern w:val="0"/>
          <w:sz w:val="32"/>
          <w:szCs w:val="32"/>
        </w:rPr>
        <w:t>辖</w:t>
      </w:r>
      <w:r>
        <w:rPr>
          <w:rFonts w:hint="eastAsia" w:ascii="仿宋_GB2312" w:hAnsi="MS Mincho" w:eastAsia="仿宋_GB2312" w:cs="MS Mincho"/>
          <w:kern w:val="0"/>
          <w:sz w:val="32"/>
          <w:szCs w:val="32"/>
        </w:rPr>
        <w:t>区内特种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的日常</w:t>
      </w:r>
      <w:r>
        <w:rPr>
          <w:rFonts w:hint="eastAsia" w:ascii="仿宋_GB2312" w:hAnsi="宋体" w:eastAsia="仿宋_GB2312" w:cs="宋体"/>
          <w:kern w:val="0"/>
          <w:sz w:val="32"/>
          <w:szCs w:val="32"/>
        </w:rPr>
        <w:t>监</w:t>
      </w:r>
      <w:r>
        <w:rPr>
          <w:rFonts w:hint="eastAsia" w:ascii="仿宋_GB2312" w:hAnsi="MS Mincho" w:eastAsia="仿宋_GB2312" w:cs="MS Mincho"/>
          <w:kern w:val="0"/>
          <w:sz w:val="32"/>
          <w:szCs w:val="32"/>
        </w:rPr>
        <w:t>督</w:t>
      </w:r>
      <w:r>
        <w:rPr>
          <w:rFonts w:hint="eastAsia" w:ascii="仿宋_GB2312" w:hAnsi="宋体" w:eastAsia="仿宋_GB2312" w:cs="宋体"/>
          <w:kern w:val="0"/>
          <w:sz w:val="32"/>
          <w:szCs w:val="32"/>
        </w:rPr>
        <w:t>检查</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于</w:t>
      </w:r>
      <w:r>
        <w:rPr>
          <w:rFonts w:hint="eastAsia" w:ascii="仿宋_GB2312" w:hAnsi="宋体" w:eastAsia="仿宋_GB2312" w:cs="宋体"/>
          <w:kern w:val="0"/>
          <w:sz w:val="32"/>
          <w:szCs w:val="32"/>
        </w:rPr>
        <w:t>发现</w:t>
      </w:r>
      <w:r>
        <w:rPr>
          <w:rFonts w:hint="eastAsia" w:ascii="仿宋_GB2312" w:hAnsi="MS Mincho" w:eastAsia="仿宋_GB2312" w:cs="MS Mincho"/>
          <w:kern w:val="0"/>
          <w:sz w:val="32"/>
          <w:szCs w:val="32"/>
        </w:rPr>
        <w:t>的安全</w:t>
      </w:r>
      <w:r>
        <w:rPr>
          <w:rFonts w:hint="eastAsia" w:ascii="仿宋_GB2312" w:hAnsi="宋体" w:eastAsia="仿宋_GB2312" w:cs="宋体"/>
          <w:kern w:val="0"/>
          <w:sz w:val="32"/>
          <w:szCs w:val="32"/>
        </w:rPr>
        <w:t>隐</w:t>
      </w:r>
      <w:r>
        <w:rPr>
          <w:rFonts w:hint="eastAsia" w:ascii="仿宋_GB2312" w:hAnsi="MS Mincho" w:eastAsia="仿宋_GB2312" w:cs="MS Mincho"/>
          <w:kern w:val="0"/>
          <w:sz w:val="32"/>
          <w:szCs w:val="32"/>
        </w:rPr>
        <w:t>患及</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下达安全</w:t>
      </w:r>
      <w:r>
        <w:rPr>
          <w:rFonts w:hint="eastAsia" w:ascii="仿宋_GB2312" w:hAnsi="宋体" w:eastAsia="仿宋_GB2312" w:cs="宋体"/>
          <w:kern w:val="0"/>
          <w:sz w:val="32"/>
          <w:szCs w:val="32"/>
        </w:rPr>
        <w:t>监</w:t>
      </w:r>
      <w:r>
        <w:rPr>
          <w:rFonts w:hint="eastAsia" w:ascii="仿宋_GB2312" w:hAnsi="MS Mincho" w:eastAsia="仿宋_GB2312" w:cs="MS Mincho"/>
          <w:kern w:val="0"/>
          <w:sz w:val="32"/>
          <w:szCs w:val="32"/>
        </w:rPr>
        <w:t>察指令</w:t>
      </w:r>
      <w:r>
        <w:rPr>
          <w:rFonts w:hint="eastAsia" w:ascii="仿宋_GB2312" w:hAnsi="宋体" w:eastAsia="仿宋_GB2312" w:cs="宋体"/>
          <w:kern w:val="0"/>
          <w:sz w:val="32"/>
          <w:szCs w:val="32"/>
        </w:rPr>
        <w:t>书责</w:t>
      </w:r>
      <w:r>
        <w:rPr>
          <w:rFonts w:hint="eastAsia" w:ascii="仿宋_GB2312" w:hAnsi="MS Mincho" w:eastAsia="仿宋_GB2312" w:cs="MS Mincho"/>
          <w:kern w:val="0"/>
          <w:sz w:val="32"/>
          <w:szCs w:val="32"/>
        </w:rPr>
        <w:t>令整改，</w:t>
      </w:r>
      <w:r>
        <w:rPr>
          <w:rFonts w:hint="eastAsia" w:ascii="仿宋_GB2312" w:hAnsi="Calibri-Bold" w:eastAsia="仿宋_GB2312" w:cs="MicrosoftYaHei"/>
          <w:kern w:val="0"/>
          <w:sz w:val="32"/>
          <w:szCs w:val="32"/>
        </w:rPr>
        <w:t>并跟踪整改落</w:t>
      </w:r>
      <w:r>
        <w:rPr>
          <w:rFonts w:hint="eastAsia" w:ascii="仿宋_GB2312" w:hAnsi="宋体" w:eastAsia="仿宋_GB2312" w:cs="宋体"/>
          <w:kern w:val="0"/>
          <w:sz w:val="32"/>
          <w:szCs w:val="32"/>
        </w:rPr>
        <w:t>实</w:t>
      </w:r>
      <w:r>
        <w:rPr>
          <w:rFonts w:hint="eastAsia" w:ascii="仿宋_GB2312" w:hAnsi="MS Mincho" w:eastAsia="仿宋_GB2312" w:cs="MS Mincho"/>
          <w:kern w:val="0"/>
          <w:sz w:val="32"/>
          <w:szCs w:val="32"/>
        </w:rPr>
        <w:t>情况。</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3.1.4</w:t>
      </w:r>
      <w:r>
        <w:rPr>
          <w:rFonts w:hint="eastAsia" w:ascii="仿宋_GB2312" w:hAnsi="Calibri-Bold" w:eastAsia="仿宋_GB2312" w:cs="MicrosoftYaHei"/>
          <w:kern w:val="0"/>
          <w:sz w:val="32"/>
          <w:szCs w:val="32"/>
        </w:rPr>
        <w:t>特种</w:t>
      </w:r>
      <w:r>
        <w:rPr>
          <w:rFonts w:hint="eastAsia" w:ascii="仿宋_GB2312" w:hAnsi="宋体" w:eastAsia="仿宋_GB2312" w:cs="宋体"/>
          <w:kern w:val="0"/>
          <w:sz w:val="32"/>
          <w:szCs w:val="32"/>
        </w:rPr>
        <w:t>设备检验检测</w:t>
      </w:r>
      <w:r>
        <w:rPr>
          <w:rFonts w:hint="eastAsia" w:ascii="仿宋_GB2312" w:hAnsi="MS Mincho" w:eastAsia="仿宋_GB2312" w:cs="MS Mincho"/>
          <w:kern w:val="0"/>
          <w:sz w:val="32"/>
          <w:szCs w:val="32"/>
        </w:rPr>
        <w:t>机构要</w:t>
      </w:r>
      <w:r>
        <w:rPr>
          <w:rFonts w:hint="eastAsia" w:ascii="仿宋_GB2312" w:hAnsi="宋体" w:eastAsia="仿宋_GB2312" w:cs="宋体"/>
          <w:kern w:val="0"/>
          <w:sz w:val="32"/>
          <w:szCs w:val="32"/>
        </w:rPr>
        <w:t>严肃检验纪</w:t>
      </w:r>
      <w:r>
        <w:rPr>
          <w:rFonts w:hint="eastAsia" w:ascii="仿宋_GB2312" w:hAnsi="MS Mincho" w:eastAsia="仿宋_GB2312" w:cs="MS Mincho"/>
          <w:kern w:val="0"/>
          <w:sz w:val="32"/>
          <w:szCs w:val="32"/>
        </w:rPr>
        <w:t>律，确保</w:t>
      </w:r>
      <w:r>
        <w:rPr>
          <w:rFonts w:hint="eastAsia" w:ascii="仿宋_GB2312" w:hAnsi="宋体" w:eastAsia="仿宋_GB2312" w:cs="宋体"/>
          <w:kern w:val="0"/>
          <w:sz w:val="32"/>
          <w:szCs w:val="32"/>
        </w:rPr>
        <w:t>检验质</w:t>
      </w:r>
      <w:r>
        <w:rPr>
          <w:rFonts w:hint="eastAsia" w:ascii="仿宋_GB2312" w:hAnsi="MS Mincho" w:eastAsia="仿宋_GB2312" w:cs="MS Mincho"/>
          <w:kern w:val="0"/>
          <w:sz w:val="32"/>
          <w:szCs w:val="32"/>
        </w:rPr>
        <w:t>量，</w:t>
      </w:r>
      <w:r>
        <w:rPr>
          <w:rFonts w:hint="eastAsia" w:ascii="仿宋_GB2312" w:hAnsi="Calibri-Bold" w:eastAsia="仿宋_GB2312" w:cs="MicrosoftYaHei"/>
          <w:kern w:val="0"/>
          <w:sz w:val="32"/>
          <w:szCs w:val="32"/>
        </w:rPr>
        <w:t>在</w:t>
      </w:r>
      <w:r>
        <w:rPr>
          <w:rFonts w:hint="eastAsia" w:ascii="仿宋_GB2312" w:hAnsi="宋体" w:eastAsia="仿宋_GB2312" w:cs="宋体"/>
          <w:kern w:val="0"/>
          <w:sz w:val="32"/>
          <w:szCs w:val="32"/>
        </w:rPr>
        <w:t>检验检测</w:t>
      </w:r>
      <w:r>
        <w:rPr>
          <w:rFonts w:hint="eastAsia" w:ascii="仿宋_GB2312" w:hAnsi="MS Mincho" w:eastAsia="仿宋_GB2312" w:cs="MS Mincho"/>
          <w:kern w:val="0"/>
          <w:sz w:val="32"/>
          <w:szCs w:val="32"/>
        </w:rPr>
        <w:t>中</w:t>
      </w:r>
      <w:r>
        <w:rPr>
          <w:rFonts w:hint="eastAsia" w:ascii="仿宋_GB2312" w:hAnsi="宋体" w:eastAsia="仿宋_GB2312" w:cs="宋体"/>
          <w:kern w:val="0"/>
          <w:sz w:val="32"/>
          <w:szCs w:val="32"/>
        </w:rPr>
        <w:t>发现严</w:t>
      </w:r>
      <w:r>
        <w:rPr>
          <w:rFonts w:hint="eastAsia" w:ascii="仿宋_GB2312" w:hAnsi="MS Mincho" w:eastAsia="仿宋_GB2312" w:cs="MS Mincho"/>
          <w:kern w:val="0"/>
          <w:sz w:val="32"/>
          <w:szCs w:val="32"/>
        </w:rPr>
        <w:t>重安全</w:t>
      </w:r>
      <w:r>
        <w:rPr>
          <w:rFonts w:hint="eastAsia" w:ascii="仿宋_GB2312" w:hAnsi="宋体" w:eastAsia="仿宋_GB2312" w:cs="宋体"/>
          <w:kern w:val="0"/>
          <w:sz w:val="32"/>
          <w:szCs w:val="32"/>
        </w:rPr>
        <w:t>隐</w:t>
      </w:r>
      <w:r>
        <w:rPr>
          <w:rFonts w:hint="eastAsia" w:ascii="仿宋_GB2312" w:hAnsi="MS Mincho" w:eastAsia="仿宋_GB2312" w:cs="MS Mincho"/>
          <w:kern w:val="0"/>
          <w:sz w:val="32"/>
          <w:szCs w:val="32"/>
        </w:rPr>
        <w:t>患的，要及</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、如</w:t>
      </w:r>
      <w:r>
        <w:rPr>
          <w:rFonts w:hint="eastAsia" w:ascii="仿宋_GB2312" w:hAnsi="宋体" w:eastAsia="仿宋_GB2312" w:cs="宋体"/>
          <w:kern w:val="0"/>
          <w:sz w:val="32"/>
          <w:szCs w:val="32"/>
        </w:rPr>
        <w:t>实</w:t>
      </w:r>
      <w:r>
        <w:rPr>
          <w:rFonts w:hint="eastAsia" w:ascii="仿宋_GB2312" w:hAnsi="MS Mincho" w:eastAsia="仿宋_GB2312" w:cs="MS Mincho"/>
          <w:kern w:val="0"/>
          <w:sz w:val="32"/>
          <w:szCs w:val="32"/>
        </w:rPr>
        <w:t>向特种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监</w:t>
      </w:r>
      <w:r>
        <w:rPr>
          <w:rFonts w:hint="eastAsia" w:ascii="仿宋_GB2312" w:hAnsi="Calibri-Bold" w:eastAsia="仿宋_GB2312" w:cs="MicrosoftYaHei"/>
          <w:kern w:val="0"/>
          <w:sz w:val="32"/>
          <w:szCs w:val="32"/>
        </w:rPr>
        <w:t>察机构</w:t>
      </w:r>
      <w:r>
        <w:rPr>
          <w:rFonts w:hint="eastAsia" w:ascii="仿宋_GB2312" w:hAnsi="宋体" w:eastAsia="仿宋_GB2312" w:cs="宋体"/>
          <w:kern w:val="0"/>
          <w:sz w:val="32"/>
          <w:szCs w:val="32"/>
        </w:rPr>
        <w:t>报</w:t>
      </w:r>
      <w:r>
        <w:rPr>
          <w:rFonts w:hint="eastAsia" w:ascii="仿宋_GB2312" w:hAnsi="MS Mincho" w:eastAsia="仿宋_GB2312" w:cs="MS Mincho"/>
          <w:kern w:val="0"/>
          <w:sz w:val="32"/>
          <w:szCs w:val="32"/>
        </w:rPr>
        <w:t>告。</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 xml:space="preserve">3.1.5 </w:t>
      </w:r>
      <w:r>
        <w:rPr>
          <w:rFonts w:hint="eastAsia" w:ascii="仿宋_GB2312" w:hAnsi="Calibri-Bold" w:eastAsia="仿宋_GB2312" w:cs="MicrosoftYaHei"/>
          <w:kern w:val="0"/>
          <w:sz w:val="32"/>
          <w:szCs w:val="32"/>
        </w:rPr>
        <w:t>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位是特种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安全的</w:t>
      </w:r>
      <w:r>
        <w:rPr>
          <w:rFonts w:hint="eastAsia" w:ascii="仿宋_GB2312" w:hAnsi="宋体" w:eastAsia="仿宋_GB2312" w:cs="宋体"/>
          <w:kern w:val="0"/>
          <w:sz w:val="32"/>
          <w:szCs w:val="32"/>
        </w:rPr>
        <w:t>责</w:t>
      </w:r>
      <w:r>
        <w:rPr>
          <w:rFonts w:hint="eastAsia" w:ascii="仿宋_GB2312" w:hAnsi="MS Mincho" w:eastAsia="仿宋_GB2312" w:cs="MS Mincho"/>
          <w:kern w:val="0"/>
          <w:sz w:val="32"/>
          <w:szCs w:val="32"/>
        </w:rPr>
        <w:t>任主体，同</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也是</w:t>
      </w:r>
      <w:r>
        <w:rPr>
          <w:rFonts w:hint="eastAsia" w:ascii="仿宋_GB2312" w:hAnsi="Calibri-Bold" w:eastAsia="仿宋_GB2312" w:cs="MicrosoftYaHei"/>
          <w:kern w:val="0"/>
          <w:sz w:val="32"/>
          <w:szCs w:val="32"/>
        </w:rPr>
        <w:t>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事故</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防的</w:t>
      </w:r>
      <w:r>
        <w:rPr>
          <w:rFonts w:hint="eastAsia" w:ascii="仿宋_GB2312" w:hAnsi="宋体" w:eastAsia="仿宋_GB2312" w:cs="宋体"/>
          <w:kern w:val="0"/>
          <w:sz w:val="32"/>
          <w:szCs w:val="32"/>
        </w:rPr>
        <w:t>责</w:t>
      </w:r>
      <w:r>
        <w:rPr>
          <w:rFonts w:hint="eastAsia" w:ascii="仿宋_GB2312" w:hAnsi="MS Mincho" w:eastAsia="仿宋_GB2312" w:cs="MS Mincho"/>
          <w:kern w:val="0"/>
          <w:sz w:val="32"/>
          <w:szCs w:val="32"/>
        </w:rPr>
        <w:t>任主体。</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①特种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位要</w:t>
      </w:r>
      <w:r>
        <w:rPr>
          <w:rFonts w:hint="eastAsia" w:ascii="仿宋_GB2312" w:hAnsi="宋体" w:eastAsia="仿宋_GB2312" w:cs="宋体"/>
          <w:kern w:val="0"/>
          <w:sz w:val="32"/>
          <w:szCs w:val="32"/>
        </w:rPr>
        <w:t>结</w:t>
      </w:r>
      <w:r>
        <w:rPr>
          <w:rFonts w:hint="eastAsia" w:ascii="仿宋_GB2312" w:hAnsi="MS Mincho" w:eastAsia="仿宋_GB2312" w:cs="MS Mincho"/>
          <w:kern w:val="0"/>
          <w:sz w:val="32"/>
          <w:szCs w:val="32"/>
        </w:rPr>
        <w:t>合本</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w:t>
      </w:r>
      <w:r>
        <w:rPr>
          <w:rFonts w:hint="eastAsia" w:ascii="仿宋_GB2312" w:hAnsi="宋体" w:eastAsia="仿宋_GB2312" w:cs="宋体"/>
          <w:kern w:val="0"/>
          <w:sz w:val="32"/>
          <w:szCs w:val="32"/>
        </w:rPr>
        <w:t>实际</w:t>
      </w:r>
      <w:r>
        <w:rPr>
          <w:rFonts w:hint="eastAsia" w:ascii="仿宋_GB2312" w:hAnsi="MS Mincho" w:eastAsia="仿宋_GB2312" w:cs="MS Mincho"/>
          <w:kern w:val="0"/>
          <w:sz w:val="32"/>
          <w:szCs w:val="32"/>
        </w:rPr>
        <w:t>情况，制定特种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w:t>
      </w:r>
      <w:r>
        <w:rPr>
          <w:rFonts w:hint="eastAsia" w:ascii="仿宋_GB2312" w:hAnsi="Calibri-Bold" w:eastAsia="仿宋_GB2312" w:cs="MicrosoftYaHei"/>
          <w:kern w:val="0"/>
          <w:sz w:val="32"/>
          <w:szCs w:val="32"/>
        </w:rPr>
        <w:t>故</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急</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案；</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②特种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位要加</w:t>
      </w:r>
      <w:r>
        <w:rPr>
          <w:rFonts w:hint="eastAsia" w:ascii="仿宋_GB2312" w:hAnsi="宋体" w:eastAsia="仿宋_GB2312" w:cs="宋体"/>
          <w:kern w:val="0"/>
          <w:sz w:val="32"/>
          <w:szCs w:val="32"/>
        </w:rPr>
        <w:t>强设备维护</w:t>
      </w:r>
      <w:r>
        <w:rPr>
          <w:rFonts w:hint="eastAsia" w:ascii="仿宋_GB2312" w:hAnsi="MS Mincho" w:eastAsia="仿宋_GB2312" w:cs="MS Mincho"/>
          <w:kern w:val="0"/>
          <w:sz w:val="32"/>
          <w:szCs w:val="32"/>
        </w:rPr>
        <w:t>和</w:t>
      </w:r>
      <w:r>
        <w:rPr>
          <w:rFonts w:hint="eastAsia" w:ascii="仿宋_GB2312" w:hAnsi="宋体" w:eastAsia="仿宋_GB2312" w:cs="宋体"/>
          <w:kern w:val="0"/>
          <w:sz w:val="32"/>
          <w:szCs w:val="32"/>
        </w:rPr>
        <w:t>隐</w:t>
      </w:r>
      <w:r>
        <w:rPr>
          <w:rFonts w:hint="eastAsia" w:ascii="仿宋_GB2312" w:hAnsi="MS Mincho" w:eastAsia="仿宋_GB2312" w:cs="MS Mincho"/>
          <w:kern w:val="0"/>
          <w:sz w:val="32"/>
          <w:szCs w:val="32"/>
        </w:rPr>
        <w:t>患排</w:t>
      </w:r>
      <w:r>
        <w:rPr>
          <w:rFonts w:hint="eastAsia" w:ascii="仿宋_GB2312" w:hAnsi="宋体" w:eastAsia="仿宋_GB2312" w:cs="宋体"/>
          <w:kern w:val="0"/>
          <w:sz w:val="32"/>
          <w:szCs w:val="32"/>
        </w:rPr>
        <w:t>查</w:t>
      </w:r>
      <w:r>
        <w:rPr>
          <w:rFonts w:hint="eastAsia" w:ascii="仿宋_GB2312" w:hAnsi="MS Mincho" w:eastAsia="仿宋_GB2312" w:cs="MS Mincho"/>
          <w:kern w:val="0"/>
          <w:sz w:val="32"/>
          <w:szCs w:val="32"/>
        </w:rPr>
        <w:t>；</w:t>
      </w:r>
    </w:p>
    <w:p>
      <w:pPr>
        <w:autoSpaceDE w:val="0"/>
        <w:autoSpaceDN w:val="0"/>
        <w:adjustRightInd w:val="0"/>
        <w:snapToGrid w:val="0"/>
        <w:spacing w:line="620" w:lineRule="exact"/>
        <w:ind w:firstLine="640" w:firstLineChars="200"/>
        <w:rPr>
          <w:rFonts w:hint="eastAsia" w:ascii="仿宋_GB2312" w:hAnsi="MS Mincho" w:eastAsia="仿宋_GB2312" w:cs="MS Mincho"/>
          <w:kern w:val="0"/>
          <w:sz w:val="32"/>
          <w:szCs w:val="32"/>
        </w:rPr>
      </w:pPr>
      <w:r>
        <w:rPr>
          <w:rFonts w:hint="eastAsia" w:ascii="仿宋_GB2312" w:hAnsi="Calibri-Bold" w:eastAsia="仿宋_GB2312" w:cs="MicrosoftYaHei"/>
          <w:kern w:val="0"/>
          <w:sz w:val="32"/>
          <w:szCs w:val="32"/>
        </w:rPr>
        <w:t>③特种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位要落</w:t>
      </w:r>
      <w:r>
        <w:rPr>
          <w:rFonts w:hint="eastAsia" w:ascii="仿宋_GB2312" w:hAnsi="宋体" w:eastAsia="仿宋_GB2312" w:cs="宋体"/>
          <w:kern w:val="0"/>
          <w:sz w:val="32"/>
          <w:szCs w:val="32"/>
        </w:rPr>
        <w:t>实</w:t>
      </w:r>
      <w:r>
        <w:rPr>
          <w:rFonts w:hint="eastAsia" w:ascii="仿宋_GB2312" w:hAnsi="MS Mincho" w:eastAsia="仿宋_GB2312" w:cs="MS Mincho"/>
          <w:kern w:val="0"/>
          <w:sz w:val="32"/>
          <w:szCs w:val="32"/>
        </w:rPr>
        <w:t>事故</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防措施，及</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解决日常</w:t>
      </w:r>
      <w:r>
        <w:rPr>
          <w:rFonts w:hint="eastAsia" w:ascii="仿宋_GB2312" w:hAnsi="宋体" w:eastAsia="仿宋_GB2312" w:cs="宋体"/>
          <w:kern w:val="0"/>
          <w:sz w:val="32"/>
          <w:szCs w:val="32"/>
        </w:rPr>
        <w:t>检查</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隐</w:t>
      </w:r>
      <w:r>
        <w:rPr>
          <w:rFonts w:hint="eastAsia" w:ascii="仿宋_GB2312" w:hAnsi="MS Mincho" w:eastAsia="仿宋_GB2312" w:cs="MS Mincho"/>
          <w:kern w:val="0"/>
          <w:sz w:val="32"/>
          <w:szCs w:val="32"/>
        </w:rPr>
        <w:t>患排</w:t>
      </w:r>
      <w:r>
        <w:rPr>
          <w:rFonts w:hint="eastAsia" w:ascii="仿宋_GB2312" w:hAnsi="宋体" w:eastAsia="仿宋_GB2312" w:cs="宋体"/>
          <w:kern w:val="0"/>
          <w:sz w:val="32"/>
          <w:szCs w:val="32"/>
        </w:rPr>
        <w:t>查</w:t>
      </w:r>
      <w:r>
        <w:rPr>
          <w:rFonts w:hint="eastAsia" w:ascii="仿宋_GB2312" w:hAnsi="MS Mincho" w:eastAsia="仿宋_GB2312" w:cs="MS Mincho"/>
          <w:kern w:val="0"/>
          <w:sz w:val="32"/>
          <w:szCs w:val="32"/>
        </w:rPr>
        <w:t>及</w:t>
      </w:r>
      <w:r>
        <w:rPr>
          <w:rFonts w:hint="eastAsia" w:ascii="仿宋_GB2312" w:hAnsi="宋体" w:eastAsia="仿宋_GB2312" w:cs="宋体"/>
          <w:kern w:val="0"/>
          <w:sz w:val="32"/>
          <w:szCs w:val="32"/>
        </w:rPr>
        <w:t>检验</w:t>
      </w:r>
      <w:r>
        <w:rPr>
          <w:rFonts w:hint="eastAsia" w:ascii="仿宋_GB2312" w:hAnsi="MS Mincho" w:eastAsia="仿宋_GB2312" w:cs="MS Mincho"/>
          <w:kern w:val="0"/>
          <w:sz w:val="32"/>
          <w:szCs w:val="32"/>
        </w:rPr>
        <w:t>中</w:t>
      </w:r>
      <w:r>
        <w:rPr>
          <w:rFonts w:hint="eastAsia" w:ascii="仿宋_GB2312" w:hAnsi="宋体" w:eastAsia="仿宋_GB2312" w:cs="宋体"/>
          <w:kern w:val="0"/>
          <w:sz w:val="32"/>
          <w:szCs w:val="32"/>
        </w:rPr>
        <w:t>发现</w:t>
      </w:r>
      <w:r>
        <w:rPr>
          <w:rFonts w:hint="eastAsia" w:ascii="仿宋_GB2312" w:hAnsi="MS Mincho" w:eastAsia="仿宋_GB2312" w:cs="MS Mincho"/>
          <w:kern w:val="0"/>
          <w:sz w:val="32"/>
          <w:szCs w:val="32"/>
        </w:rPr>
        <w:t>的各</w:t>
      </w:r>
      <w:r>
        <w:rPr>
          <w:rFonts w:hint="eastAsia" w:ascii="仿宋_GB2312" w:hAnsi="宋体" w:eastAsia="仿宋_GB2312" w:cs="宋体"/>
          <w:kern w:val="0"/>
          <w:sz w:val="32"/>
          <w:szCs w:val="32"/>
        </w:rPr>
        <w:t>项问题</w:t>
      </w:r>
      <w:r>
        <w:rPr>
          <w:rFonts w:hint="eastAsia" w:ascii="仿宋_GB2312" w:hAnsi="MS Mincho" w:eastAsia="仿宋_GB2312" w:cs="MS Mincho"/>
          <w:kern w:val="0"/>
          <w:sz w:val="32"/>
          <w:szCs w:val="32"/>
        </w:rPr>
        <w:t>，消除事故</w:t>
      </w:r>
      <w:r>
        <w:rPr>
          <w:rFonts w:hint="eastAsia" w:ascii="仿宋_GB2312" w:hAnsi="宋体" w:eastAsia="仿宋_GB2312" w:cs="宋体"/>
          <w:kern w:val="0"/>
          <w:sz w:val="32"/>
          <w:szCs w:val="32"/>
        </w:rPr>
        <w:t>隐</w:t>
      </w:r>
      <w:r>
        <w:rPr>
          <w:rFonts w:hint="eastAsia" w:ascii="仿宋_GB2312" w:hAnsi="MS Mincho" w:eastAsia="仿宋_GB2312" w:cs="MS Mincho"/>
          <w:kern w:val="0"/>
          <w:sz w:val="32"/>
          <w:szCs w:val="32"/>
        </w:rPr>
        <w:t>患。</w:t>
      </w:r>
    </w:p>
    <w:p>
      <w:pPr>
        <w:autoSpaceDE w:val="0"/>
        <w:autoSpaceDN w:val="0"/>
        <w:adjustRightInd w:val="0"/>
        <w:snapToGrid w:val="0"/>
        <w:spacing w:line="620" w:lineRule="exact"/>
        <w:ind w:firstLine="640" w:firstLineChars="200"/>
        <w:rPr>
          <w:rFonts w:hint="default" w:ascii="仿宋_GB2312" w:hAnsi="MS Mincho" w:eastAsia="仿宋_GB2312" w:cs="MS Mincho"/>
          <w:kern w:val="0"/>
          <w:sz w:val="32"/>
          <w:szCs w:val="32"/>
          <w:lang w:val="en-US" w:eastAsia="zh-CN"/>
        </w:rPr>
      </w:pPr>
      <w:r>
        <w:rPr>
          <w:rFonts w:hint="eastAsia" w:ascii="仿宋_GB2312" w:hAnsi="MS Mincho" w:eastAsia="仿宋_GB2312" w:cs="MS Mincho"/>
          <w:kern w:val="0"/>
          <w:sz w:val="32"/>
          <w:szCs w:val="32"/>
          <w:lang w:val="en-US" w:eastAsia="zh-CN"/>
        </w:rPr>
        <w:t>3.1.6 建设局应当指导使用单位做好房屋建筑工地和市政工程用地起重机械、场（厂）内专用机动车辆的监测工作。</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6" w:name="_Toc29115"/>
      <w:r>
        <w:rPr>
          <w:rFonts w:hint="eastAsia" w:ascii="楷体_GB2312" w:hAnsi="楷体_GB2312" w:eastAsia="楷体_GB2312" w:cs="楷体_GB2312"/>
        </w:rPr>
        <w:t>3.2 预警</w:t>
      </w:r>
      <w:bookmarkEnd w:id="16"/>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3.2.1</w:t>
      </w:r>
      <w:r>
        <w:rPr>
          <w:rFonts w:hint="eastAsia" w:ascii="仿宋_GB2312" w:hAnsi="Calibri-Bold" w:eastAsia="仿宋_GB2312" w:cs="MicrosoftYaHei"/>
          <w:kern w:val="0"/>
          <w:sz w:val="32"/>
          <w:szCs w:val="32"/>
        </w:rPr>
        <w:t xml:space="preserve"> 当以下事故、自然灾害</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当做好启</w:t>
      </w:r>
      <w:r>
        <w:rPr>
          <w:rFonts w:hint="eastAsia" w:ascii="仿宋_GB2312" w:hAnsi="宋体" w:eastAsia="仿宋_GB2312" w:cs="宋体"/>
          <w:kern w:val="0"/>
          <w:sz w:val="32"/>
          <w:szCs w:val="32"/>
        </w:rPr>
        <w:t>动</w:t>
      </w:r>
      <w:r>
        <w:rPr>
          <w:rFonts w:hint="eastAsia" w:ascii="仿宋_GB2312" w:hAnsi="MS Mincho" w:eastAsia="仿宋_GB2312" w:cs="MS Mincho"/>
          <w:kern w:val="0"/>
          <w:sz w:val="32"/>
          <w:szCs w:val="32"/>
        </w:rPr>
        <w:t>本</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案的准</w:t>
      </w:r>
      <w:r>
        <w:rPr>
          <w:rFonts w:hint="eastAsia" w:ascii="仿宋_GB2312" w:hAnsi="宋体" w:eastAsia="仿宋_GB2312" w:cs="宋体"/>
          <w:kern w:val="0"/>
          <w:sz w:val="32"/>
          <w:szCs w:val="32"/>
        </w:rPr>
        <w:t>备</w:t>
      </w:r>
      <w:r>
        <w:rPr>
          <w:rFonts w:hint="eastAsia" w:ascii="仿宋_GB2312" w:hAnsi="MS Mincho" w:eastAsia="仿宋_GB2312" w:cs="MS Mincho"/>
          <w:kern w:val="0"/>
          <w:sz w:val="32"/>
          <w:szCs w:val="32"/>
        </w:rPr>
        <w:t>：</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①化工企</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爆炸、停</w:t>
      </w:r>
      <w:r>
        <w:rPr>
          <w:rFonts w:hint="eastAsia" w:ascii="仿宋_GB2312" w:hAnsi="宋体" w:eastAsia="仿宋_GB2312" w:cs="宋体"/>
          <w:kern w:val="0"/>
          <w:sz w:val="32"/>
          <w:szCs w:val="32"/>
        </w:rPr>
        <w:t>电</w:t>
      </w:r>
      <w:r>
        <w:rPr>
          <w:rFonts w:hint="eastAsia" w:ascii="仿宋_GB2312" w:hAnsi="MS Mincho" w:eastAsia="仿宋_GB2312" w:cs="MS Mincho"/>
          <w:kern w:val="0"/>
          <w:sz w:val="32"/>
          <w:szCs w:val="32"/>
        </w:rPr>
        <w:t>、火灾事</w:t>
      </w:r>
      <w:r>
        <w:rPr>
          <w:rFonts w:hint="eastAsia" w:ascii="仿宋_GB2312" w:hAnsi="Calibri-Bold" w:eastAsia="仿宋_GB2312" w:cs="MicrosoftYaHei"/>
          <w:kern w:val="0"/>
          <w:sz w:val="32"/>
          <w:szCs w:val="32"/>
        </w:rPr>
        <w:t>故；</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②客运索道、大型游</w:t>
      </w:r>
      <w:r>
        <w:rPr>
          <w:rFonts w:hint="eastAsia" w:ascii="仿宋_GB2312" w:hAnsi="宋体" w:eastAsia="仿宋_GB2312" w:cs="宋体"/>
          <w:kern w:val="0"/>
          <w:sz w:val="32"/>
          <w:szCs w:val="32"/>
        </w:rPr>
        <w:t>乐设</w:t>
      </w:r>
      <w:r>
        <w:rPr>
          <w:rFonts w:hint="eastAsia" w:ascii="仿宋_GB2312" w:hAnsi="MS Mincho" w:eastAsia="仿宋_GB2312" w:cs="MS Mincho"/>
          <w:kern w:val="0"/>
          <w:sz w:val="32"/>
          <w:szCs w:val="32"/>
        </w:rPr>
        <w:t>施停</w:t>
      </w:r>
      <w:r>
        <w:rPr>
          <w:rFonts w:hint="eastAsia" w:ascii="仿宋_GB2312" w:hAnsi="宋体" w:eastAsia="仿宋_GB2312" w:cs="宋体"/>
          <w:kern w:val="0"/>
          <w:sz w:val="32"/>
          <w:szCs w:val="32"/>
        </w:rPr>
        <w:t>电</w:t>
      </w:r>
      <w:r>
        <w:rPr>
          <w:rFonts w:hint="eastAsia" w:ascii="仿宋_GB2312" w:hAnsi="MS Mincho" w:eastAsia="仿宋_GB2312" w:cs="MS Mincho"/>
          <w:kern w:val="0"/>
          <w:sz w:val="32"/>
          <w:szCs w:val="32"/>
        </w:rPr>
        <w:t>、火灾事故；</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③地震、台</w:t>
      </w:r>
      <w:r>
        <w:rPr>
          <w:rFonts w:hint="eastAsia" w:ascii="仿宋_GB2312" w:hAnsi="宋体" w:eastAsia="仿宋_GB2312" w:cs="宋体"/>
          <w:kern w:val="0"/>
          <w:sz w:val="32"/>
          <w:szCs w:val="32"/>
        </w:rPr>
        <w:t>风</w:t>
      </w:r>
      <w:r>
        <w:rPr>
          <w:rFonts w:hint="eastAsia" w:ascii="仿宋_GB2312" w:hAnsi="MS Mincho" w:eastAsia="仿宋_GB2312" w:cs="MS Mincho"/>
          <w:kern w:val="0"/>
          <w:sz w:val="32"/>
          <w:szCs w:val="32"/>
        </w:rPr>
        <w:t>、暴雨</w:t>
      </w:r>
      <w:r>
        <w:rPr>
          <w:rFonts w:hint="eastAsia" w:ascii="仿宋_GB2312" w:hAnsi="Calibri-Bold" w:eastAsia="仿宋_GB2312" w:cs="MicrosoftYaHei"/>
          <w:kern w:val="0"/>
          <w:sz w:val="32"/>
          <w:szCs w:val="32"/>
        </w:rPr>
        <w:t>(雪)、大</w:t>
      </w:r>
      <w:r>
        <w:rPr>
          <w:rFonts w:hint="eastAsia" w:ascii="仿宋_GB2312" w:hAnsi="宋体" w:eastAsia="仿宋_GB2312" w:cs="宋体"/>
          <w:kern w:val="0"/>
          <w:sz w:val="32"/>
          <w:szCs w:val="32"/>
        </w:rPr>
        <w:t>风</w:t>
      </w:r>
      <w:r>
        <w:rPr>
          <w:rFonts w:hint="eastAsia" w:ascii="仿宋_GB2312" w:hAnsi="Calibri-Bold" w:eastAsia="仿宋_GB2312" w:cs="MicrosoftYaHei"/>
          <w:kern w:val="0"/>
          <w:sz w:val="32"/>
          <w:szCs w:val="32"/>
        </w:rPr>
        <w:t>(沙</w:t>
      </w:r>
      <w:r>
        <w:rPr>
          <w:rFonts w:hint="eastAsia" w:ascii="仿宋_GB2312" w:hAnsi="宋体" w:eastAsia="仿宋_GB2312" w:cs="宋体"/>
          <w:kern w:val="0"/>
          <w:sz w:val="32"/>
          <w:szCs w:val="32"/>
        </w:rPr>
        <w:t>尘</w:t>
      </w:r>
      <w:r>
        <w:rPr>
          <w:rFonts w:hint="eastAsia" w:ascii="仿宋_GB2312" w:hAnsi="MS Mincho" w:eastAsia="仿宋_GB2312" w:cs="MS Mincho"/>
          <w:kern w:val="0"/>
          <w:sz w:val="32"/>
          <w:szCs w:val="32"/>
        </w:rPr>
        <w:t>暴</w:t>
      </w:r>
      <w:r>
        <w:rPr>
          <w:rFonts w:hint="eastAsia" w:ascii="仿宋_GB2312" w:hAnsi="Calibri-Bold" w:eastAsia="仿宋_GB2312" w:cs="MicrosoftYaHei"/>
          <w:kern w:val="0"/>
          <w:sz w:val="32"/>
          <w:szCs w:val="32"/>
        </w:rPr>
        <w:t>)、雷</w:t>
      </w:r>
      <w:r>
        <w:rPr>
          <w:rFonts w:hint="eastAsia" w:ascii="仿宋_GB2312" w:hAnsi="宋体" w:eastAsia="仿宋_GB2312" w:cs="宋体"/>
          <w:kern w:val="0"/>
          <w:sz w:val="32"/>
          <w:szCs w:val="32"/>
        </w:rPr>
        <w:t>电</w:t>
      </w:r>
      <w:r>
        <w:rPr>
          <w:rFonts w:hint="eastAsia" w:ascii="仿宋_GB2312" w:hAnsi="MS Mincho" w:eastAsia="仿宋_GB2312" w:cs="MS Mincho"/>
          <w:kern w:val="0"/>
          <w:sz w:val="32"/>
          <w:szCs w:val="32"/>
        </w:rPr>
        <w:t>、冰雹、霜</w:t>
      </w:r>
      <w:r>
        <w:rPr>
          <w:rFonts w:hint="eastAsia" w:ascii="仿宋_GB2312" w:hAnsi="宋体" w:eastAsia="仿宋_GB2312" w:cs="宋体"/>
          <w:kern w:val="0"/>
          <w:sz w:val="32"/>
          <w:szCs w:val="32"/>
        </w:rPr>
        <w:t>冻</w:t>
      </w:r>
      <w:r>
        <w:rPr>
          <w:rFonts w:hint="eastAsia" w:ascii="仿宋_GB2312" w:hAnsi="MS Mincho" w:eastAsia="仿宋_GB2312" w:cs="MS Mincho"/>
          <w:kern w:val="0"/>
          <w:sz w:val="32"/>
          <w:szCs w:val="32"/>
        </w:rPr>
        <w:t>、大</w:t>
      </w:r>
      <w:r>
        <w:rPr>
          <w:rFonts w:hint="eastAsia" w:ascii="仿宋_GB2312" w:hAnsi="宋体" w:eastAsia="仿宋_GB2312" w:cs="宋体"/>
          <w:kern w:val="0"/>
          <w:sz w:val="32"/>
          <w:szCs w:val="32"/>
        </w:rPr>
        <w:t>雾</w:t>
      </w:r>
      <w:r>
        <w:rPr>
          <w:rFonts w:hint="eastAsia" w:ascii="仿宋_GB2312" w:hAnsi="MS Mincho" w:eastAsia="仿宋_GB2312" w:cs="MS Mincho"/>
          <w:kern w:val="0"/>
          <w:sz w:val="32"/>
          <w:szCs w:val="32"/>
        </w:rPr>
        <w:t>等</w:t>
      </w:r>
      <w:r>
        <w:rPr>
          <w:rFonts w:hint="eastAsia" w:ascii="仿宋_GB2312" w:hAnsi="Calibri-Bold" w:eastAsia="仿宋_GB2312" w:cs="MicrosoftYaHei"/>
          <w:kern w:val="0"/>
          <w:sz w:val="32"/>
          <w:szCs w:val="32"/>
        </w:rPr>
        <w:t>气象灾害；</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④其他可能</w:t>
      </w:r>
      <w:r>
        <w:rPr>
          <w:rFonts w:hint="eastAsia" w:ascii="仿宋_GB2312" w:hAnsi="宋体" w:eastAsia="仿宋_GB2312" w:cs="宋体"/>
          <w:kern w:val="0"/>
          <w:sz w:val="32"/>
          <w:szCs w:val="32"/>
        </w:rPr>
        <w:t>导</w:t>
      </w:r>
      <w:r>
        <w:rPr>
          <w:rFonts w:hint="eastAsia" w:ascii="仿宋_GB2312" w:hAnsi="MS Mincho" w:eastAsia="仿宋_GB2312" w:cs="MS Mincho"/>
          <w:kern w:val="0"/>
          <w:sz w:val="32"/>
          <w:szCs w:val="32"/>
        </w:rPr>
        <w:t>致特种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事故的灾</w:t>
      </w:r>
      <w:r>
        <w:rPr>
          <w:rFonts w:hint="eastAsia" w:ascii="仿宋_GB2312" w:hAnsi="宋体" w:eastAsia="仿宋_GB2312" w:cs="宋体"/>
          <w:kern w:val="0"/>
          <w:sz w:val="32"/>
          <w:szCs w:val="32"/>
        </w:rPr>
        <w:t>难</w:t>
      </w:r>
      <w:r>
        <w:rPr>
          <w:rFonts w:hint="eastAsia" w:ascii="仿宋_GB2312" w:hAnsi="MS Mincho" w:eastAsia="仿宋_GB2312" w:cs="MS Mincho"/>
          <w:kern w:val="0"/>
          <w:sz w:val="32"/>
          <w:szCs w:val="32"/>
        </w:rPr>
        <w:t>性事故。</w:t>
      </w:r>
    </w:p>
    <w:p>
      <w:pPr>
        <w:autoSpaceDE w:val="0"/>
        <w:autoSpaceDN w:val="0"/>
        <w:adjustRightInd w:val="0"/>
        <w:snapToGrid w:val="0"/>
        <w:spacing w:line="620" w:lineRule="exact"/>
        <w:ind w:firstLine="640" w:firstLineChars="200"/>
        <w:rPr>
          <w:rFonts w:hint="eastAsia" w:ascii="仿宋_GB2312" w:hAnsi="MS Mincho" w:eastAsia="仿宋_GB2312" w:cs="MS Mincho"/>
          <w:kern w:val="0"/>
          <w:sz w:val="32"/>
          <w:szCs w:val="32"/>
        </w:rPr>
      </w:pPr>
      <w:r>
        <w:rPr>
          <w:rFonts w:hint="eastAsia" w:ascii="楷体_GB2312" w:hAnsi="楷体_GB2312" w:eastAsia="楷体_GB2312" w:cs="楷体_GB2312"/>
          <w:bCs/>
          <w:sz w:val="32"/>
          <w:szCs w:val="32"/>
        </w:rPr>
        <w:t xml:space="preserve">3.2.2 </w:t>
      </w:r>
      <w:r>
        <w:rPr>
          <w:rFonts w:hint="eastAsia" w:ascii="仿宋_GB2312" w:hAnsi="MS Mincho" w:eastAsia="仿宋_GB2312" w:cs="MS Mincho"/>
          <w:kern w:val="0"/>
          <w:sz w:val="32"/>
          <w:szCs w:val="32"/>
        </w:rPr>
        <w:t>市</w:t>
      </w:r>
      <w:r>
        <w:rPr>
          <w:rFonts w:hint="eastAsia" w:ascii="仿宋_GB2312" w:hAnsi="宋体" w:eastAsia="仿宋_GB2312" w:cs="宋体"/>
          <w:kern w:val="0"/>
          <w:sz w:val="32"/>
          <w:szCs w:val="32"/>
        </w:rPr>
        <w:t>场监</w:t>
      </w:r>
      <w:r>
        <w:rPr>
          <w:rFonts w:hint="eastAsia" w:ascii="仿宋_GB2312" w:hAnsi="MS Mincho" w:eastAsia="仿宋_GB2312" w:cs="MS Mincho"/>
          <w:kern w:val="0"/>
          <w:sz w:val="32"/>
          <w:szCs w:val="32"/>
        </w:rPr>
        <w:t>管部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接到可能</w:t>
      </w:r>
      <w:r>
        <w:rPr>
          <w:rFonts w:hint="eastAsia" w:ascii="仿宋_GB2312" w:hAnsi="宋体" w:eastAsia="仿宋_GB2312" w:cs="宋体"/>
          <w:kern w:val="0"/>
          <w:sz w:val="32"/>
          <w:szCs w:val="32"/>
        </w:rPr>
        <w:t>导</w:t>
      </w:r>
      <w:r>
        <w:rPr>
          <w:rFonts w:hint="eastAsia" w:ascii="仿宋_GB2312" w:hAnsi="MS Mincho" w:eastAsia="仿宋_GB2312" w:cs="MS Mincho"/>
          <w:kern w:val="0"/>
          <w:sz w:val="32"/>
          <w:szCs w:val="32"/>
        </w:rPr>
        <w:t>致特种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事故的信息后，</w:t>
      </w:r>
      <w:r>
        <w:rPr>
          <w:rFonts w:hint="eastAsia" w:ascii="仿宋_GB2312" w:hAnsi="Calibri-Bold" w:eastAsia="仿宋_GB2312" w:cs="MicrosoftYaHei"/>
          <w:kern w:val="0"/>
          <w:sz w:val="32"/>
          <w:szCs w:val="32"/>
        </w:rPr>
        <w:t>及</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确定</w:t>
      </w:r>
      <w:r>
        <w:rPr>
          <w:rFonts w:hint="eastAsia" w:ascii="仿宋_GB2312" w:hAnsi="宋体" w:eastAsia="仿宋_GB2312" w:cs="宋体"/>
          <w:kern w:val="0"/>
          <w:sz w:val="32"/>
          <w:szCs w:val="32"/>
        </w:rPr>
        <w:t>应对</w:t>
      </w:r>
      <w:r>
        <w:rPr>
          <w:rFonts w:hint="eastAsia" w:ascii="仿宋_GB2312" w:hAnsi="MS Mincho" w:eastAsia="仿宋_GB2312" w:cs="MS Mincho"/>
          <w:kern w:val="0"/>
          <w:sz w:val="32"/>
          <w:szCs w:val="32"/>
        </w:rPr>
        <w:t>方案，通知有关部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位采取相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行</w:t>
      </w:r>
      <w:r>
        <w:rPr>
          <w:rFonts w:hint="eastAsia" w:ascii="仿宋_GB2312" w:hAnsi="宋体" w:eastAsia="仿宋_GB2312" w:cs="宋体"/>
          <w:kern w:val="0"/>
          <w:sz w:val="32"/>
          <w:szCs w:val="32"/>
        </w:rPr>
        <w:t>动预</w:t>
      </w:r>
      <w:r>
        <w:rPr>
          <w:rFonts w:hint="eastAsia" w:ascii="仿宋_GB2312" w:hAnsi="MS Mincho" w:eastAsia="仿宋_GB2312" w:cs="MS Mincho"/>
          <w:kern w:val="0"/>
          <w:sz w:val="32"/>
          <w:szCs w:val="32"/>
        </w:rPr>
        <w:t>防事故</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w:t>
      </w:r>
      <w:r>
        <w:rPr>
          <w:rFonts w:hint="eastAsia" w:ascii="仿宋_GB2312" w:hAnsi="Calibri-Bold" w:eastAsia="仿宋_GB2312" w:cs="MicrosoftYaHei"/>
          <w:kern w:val="0"/>
          <w:sz w:val="32"/>
          <w:szCs w:val="32"/>
        </w:rPr>
        <w:t>并按照</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案做好</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急准</w:t>
      </w:r>
      <w:r>
        <w:rPr>
          <w:rFonts w:hint="eastAsia" w:ascii="仿宋_GB2312" w:hAnsi="宋体" w:eastAsia="仿宋_GB2312" w:cs="宋体"/>
          <w:kern w:val="0"/>
          <w:sz w:val="32"/>
          <w:szCs w:val="32"/>
        </w:rPr>
        <w:t>备</w:t>
      </w:r>
      <w:r>
        <w:rPr>
          <w:rFonts w:hint="eastAsia" w:ascii="仿宋_GB2312" w:hAnsi="MS Mincho" w:eastAsia="仿宋_GB2312" w:cs="MS Mincho"/>
          <w:kern w:val="0"/>
          <w:sz w:val="32"/>
          <w:szCs w:val="32"/>
        </w:rPr>
        <w:t>；必要</w:t>
      </w:r>
      <w:r>
        <w:rPr>
          <w:rFonts w:hint="eastAsia" w:ascii="仿宋_GB2312" w:hAnsi="宋体" w:eastAsia="仿宋_GB2312" w:cs="宋体"/>
          <w:kern w:val="0"/>
          <w:sz w:val="32"/>
          <w:szCs w:val="32"/>
        </w:rPr>
        <w:t>时</w:t>
      </w:r>
      <w:r>
        <w:rPr>
          <w:rFonts w:hint="eastAsia" w:ascii="仿宋_GB2312" w:hAnsi="MS Mincho" w:eastAsia="仿宋_GB2312" w:cs="MS Mincho"/>
          <w:kern w:val="0"/>
          <w:sz w:val="32"/>
          <w:szCs w:val="32"/>
        </w:rPr>
        <w:t>，要及</w:t>
      </w:r>
      <w:r>
        <w:rPr>
          <w:rFonts w:hint="eastAsia" w:ascii="仿宋_GB2312" w:hAnsi="宋体" w:eastAsia="仿宋_GB2312" w:cs="宋体"/>
          <w:kern w:val="0"/>
          <w:sz w:val="32"/>
          <w:szCs w:val="32"/>
        </w:rPr>
        <w:t>时报</w:t>
      </w:r>
      <w:r>
        <w:rPr>
          <w:rFonts w:hint="eastAsia" w:ascii="仿宋_GB2312" w:hAnsi="MS Mincho" w:eastAsia="仿宋_GB2312" w:cs="MS Mincho"/>
          <w:kern w:val="0"/>
          <w:sz w:val="32"/>
          <w:szCs w:val="32"/>
        </w:rPr>
        <w:t>告生态城管委会及上级相关部门。</w:t>
      </w:r>
    </w:p>
    <w:p>
      <w:pPr>
        <w:autoSpaceDE w:val="0"/>
        <w:autoSpaceDN w:val="0"/>
        <w:adjustRightInd w:val="0"/>
        <w:snapToGrid w:val="0"/>
        <w:spacing w:line="620" w:lineRule="exact"/>
        <w:ind w:firstLine="640" w:firstLineChars="200"/>
        <w:rPr>
          <w:rFonts w:hint="default" w:ascii="仿宋_GB2312" w:hAnsi="MS Mincho" w:eastAsia="仿宋_GB2312" w:cs="MS Mincho"/>
          <w:kern w:val="0"/>
          <w:sz w:val="32"/>
          <w:szCs w:val="32"/>
          <w:lang w:val="en-US" w:eastAsia="zh-CN"/>
        </w:rPr>
      </w:pPr>
      <w:r>
        <w:rPr>
          <w:rFonts w:hint="eastAsia" w:ascii="仿宋_GB2312" w:hAnsi="MS Mincho" w:eastAsia="仿宋_GB2312" w:cs="MS Mincho"/>
          <w:kern w:val="0"/>
          <w:sz w:val="32"/>
          <w:szCs w:val="32"/>
          <w:lang w:val="en-US" w:eastAsia="zh-CN"/>
        </w:rPr>
        <w:t>3.2.3 建设局应当指导使用单位做好房屋建筑工地和市政工程用起重机械、场（厂）内专用机动车辆的预警工作。</w:t>
      </w:r>
    </w:p>
    <w:p>
      <w:pPr>
        <w:pStyle w:val="2"/>
        <w:keepNext w:val="0"/>
        <w:keepLines w:val="0"/>
        <w:adjustRightInd w:val="0"/>
        <w:snapToGrid w:val="0"/>
        <w:spacing w:before="0" w:after="0" w:line="620" w:lineRule="exact"/>
        <w:ind w:firstLine="643" w:firstLineChars="200"/>
        <w:rPr>
          <w:rFonts w:hint="eastAsia" w:ascii="楷体_GB2312" w:hAnsi="楷体_GB2312" w:eastAsia="楷体_GB2312" w:cs="楷体_GB2312"/>
          <w:kern w:val="0"/>
          <w:sz w:val="32"/>
          <w:szCs w:val="32"/>
          <w:lang w:val="en-US" w:eastAsia="zh-CN"/>
        </w:rPr>
      </w:pPr>
      <w:bookmarkStart w:id="17" w:name="_Toc30056"/>
      <w:r>
        <w:rPr>
          <w:rFonts w:hint="eastAsia" w:ascii="楷体_GB2312" w:hAnsi="楷体_GB2312" w:eastAsia="楷体_GB2312" w:cs="楷体_GB2312"/>
          <w:kern w:val="0"/>
          <w:sz w:val="32"/>
          <w:szCs w:val="32"/>
        </w:rPr>
        <w:t xml:space="preserve">4 </w:t>
      </w:r>
      <w:r>
        <w:rPr>
          <w:rFonts w:hint="eastAsia" w:ascii="楷体_GB2312" w:hAnsi="楷体_GB2312" w:eastAsia="楷体_GB2312" w:cs="楷体_GB2312"/>
          <w:kern w:val="0"/>
          <w:sz w:val="32"/>
          <w:szCs w:val="32"/>
          <w:lang w:val="en-US" w:eastAsia="zh-CN"/>
        </w:rPr>
        <w:t>应急处置</w:t>
      </w:r>
      <w:bookmarkEnd w:id="17"/>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8" w:name="_Toc20755"/>
      <w:r>
        <w:rPr>
          <w:rFonts w:hint="eastAsia" w:ascii="楷体_GB2312" w:hAnsi="楷体_GB2312" w:eastAsia="楷体_GB2312" w:cs="楷体_GB2312"/>
        </w:rPr>
        <w:t>4.1 信息报告</w:t>
      </w:r>
      <w:bookmarkEnd w:id="18"/>
    </w:p>
    <w:p>
      <w:pPr>
        <w:autoSpaceDE w:val="0"/>
        <w:autoSpaceDN w:val="0"/>
        <w:adjustRightInd w:val="0"/>
        <w:snapToGrid w:val="0"/>
        <w:spacing w:line="620" w:lineRule="exact"/>
        <w:ind w:firstLine="640" w:firstLineChars="200"/>
        <w:rPr>
          <w:rFonts w:ascii="Times New Roman" w:hAnsi="Times New Roman" w:eastAsia="仿宋_GB2312" w:cs="仿宋_GB2312"/>
          <w:sz w:val="32"/>
          <w:szCs w:val="32"/>
        </w:rPr>
      </w:pP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事故的</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w:t>
      </w:r>
      <w:r>
        <w:rPr>
          <w:rFonts w:hint="eastAsia" w:ascii="仿宋_GB2312" w:hAnsi="Calibri-Bold" w:eastAsia="仿宋_GB2312" w:cs="MicrosoftYaHei"/>
          <w:kern w:val="0"/>
          <w:sz w:val="32"/>
          <w:szCs w:val="32"/>
        </w:rPr>
        <w:t>,</w:t>
      </w:r>
      <w:r>
        <w:rPr>
          <w:rFonts w:hint="eastAsia"/>
        </w:rPr>
        <w:t xml:space="preserve"> </w:t>
      </w:r>
      <w:r>
        <w:rPr>
          <w:rFonts w:hint="eastAsia" w:ascii="仿宋_GB2312" w:hAnsi="Calibri-Bold" w:eastAsia="仿宋_GB2312" w:cs="MicrosoftYaHei"/>
          <w:kern w:val="0"/>
          <w:sz w:val="32"/>
          <w:szCs w:val="32"/>
        </w:rPr>
        <w:t>应立即报告主管部门、生态城市场监管部门</w:t>
      </w:r>
      <w:r>
        <w:rPr>
          <w:rFonts w:hint="eastAsia" w:ascii="仿宋_GB2312" w:hAnsi="Calibri-Bold" w:eastAsia="仿宋_GB2312" w:cs="MicrosoftYaHei"/>
          <w:kern w:val="0"/>
          <w:sz w:val="32"/>
          <w:szCs w:val="32"/>
          <w:lang w:eastAsia="zh-CN"/>
        </w:rPr>
        <w:t>。</w:t>
      </w:r>
      <w:r>
        <w:rPr>
          <w:rFonts w:hint="eastAsia" w:ascii="仿宋_GB2312" w:hAnsi="Calibri-Bold" w:eastAsia="仿宋_GB2312" w:cs="MicrosoftYaHei"/>
          <w:kern w:val="0"/>
          <w:sz w:val="32"/>
          <w:szCs w:val="32"/>
        </w:rPr>
        <w:t>主管部门、市场监管部门接到报告后，</w:t>
      </w:r>
      <w:r>
        <w:rPr>
          <w:rFonts w:hint="eastAsia" w:ascii="仿宋_GB2312" w:hAnsi="MS Mincho" w:eastAsia="仿宋_GB2312" w:cs="MS Mincho"/>
          <w:kern w:val="0"/>
          <w:sz w:val="32"/>
          <w:szCs w:val="32"/>
        </w:rPr>
        <w:t>应当核实情况</w:t>
      </w:r>
      <w:r>
        <w:rPr>
          <w:rFonts w:hint="eastAsia" w:ascii="仿宋_GB2312" w:hAnsi="MS Mincho" w:eastAsia="仿宋_GB2312" w:cs="MS Mincho"/>
          <w:kern w:val="0"/>
          <w:sz w:val="32"/>
          <w:szCs w:val="32"/>
          <w:lang w:val="en-US" w:eastAsia="zh-CN"/>
        </w:rPr>
        <w:t>尽快报告新区市场监管局</w:t>
      </w:r>
      <w:r>
        <w:rPr>
          <w:rFonts w:hint="eastAsia" w:ascii="仿宋_GB2312" w:hAnsi="MS Mincho" w:eastAsia="仿宋_GB2312" w:cs="MS Mincho"/>
          <w:kern w:val="0"/>
          <w:sz w:val="32"/>
          <w:szCs w:val="32"/>
        </w:rPr>
        <w:t>，</w:t>
      </w:r>
      <w:r>
        <w:rPr>
          <w:rFonts w:hint="eastAsia" w:ascii="仿宋_GB2312" w:hAnsi="MS Mincho" w:eastAsia="仿宋_GB2312" w:cs="MS Mincho"/>
          <w:kern w:val="0"/>
          <w:sz w:val="32"/>
          <w:szCs w:val="32"/>
          <w:lang w:val="en-US" w:eastAsia="zh-CN"/>
        </w:rPr>
        <w:t>同时</w:t>
      </w:r>
      <w:r>
        <w:rPr>
          <w:rFonts w:hint="eastAsia" w:ascii="仿宋_GB2312" w:hAnsi="MS Mincho" w:eastAsia="仿宋_GB2312" w:cs="MS Mincho"/>
          <w:kern w:val="0"/>
          <w:sz w:val="32"/>
          <w:szCs w:val="32"/>
        </w:rPr>
        <w:t>应在20分钟内</w:t>
      </w:r>
      <w:r>
        <w:rPr>
          <w:rFonts w:hint="eastAsia" w:ascii="仿宋_GB2312" w:hAnsi="MS Mincho" w:eastAsia="仿宋_GB2312" w:cs="MS Mincho"/>
          <w:kern w:val="0"/>
          <w:sz w:val="32"/>
          <w:szCs w:val="32"/>
          <w:lang w:val="en-US" w:eastAsia="zh-CN"/>
        </w:rPr>
        <w:t>报告应急管理局（电话报送不超过20分钟，书面报送不超过40分钟），由应急管理局核实情况后，</w:t>
      </w:r>
      <w:r>
        <w:rPr>
          <w:rFonts w:hint="eastAsia" w:ascii="仿宋_GB2312" w:hAnsi="MS Mincho" w:eastAsia="仿宋_GB2312" w:cs="MS Mincho"/>
          <w:kern w:val="0"/>
          <w:sz w:val="32"/>
          <w:szCs w:val="32"/>
        </w:rPr>
        <w:t>向管委会、区委、区政府、区指挥部报送。特种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突</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事件</w:t>
      </w:r>
      <w:r>
        <w:rPr>
          <w:rFonts w:hint="eastAsia" w:ascii="仿宋_GB2312" w:hAnsi="Calibri-Bold" w:eastAsia="仿宋_GB2312" w:cs="MicrosoftYaHei"/>
          <w:kern w:val="0"/>
          <w:sz w:val="32"/>
          <w:szCs w:val="32"/>
        </w:rPr>
        <w:t>24小</w:t>
      </w:r>
      <w:r>
        <w:rPr>
          <w:rFonts w:hint="eastAsia" w:ascii="仿宋_GB2312" w:hAnsi="宋体" w:eastAsia="仿宋_GB2312" w:cs="宋体"/>
          <w:kern w:val="0"/>
          <w:sz w:val="32"/>
          <w:szCs w:val="32"/>
        </w:rPr>
        <w:t>时应</w:t>
      </w:r>
      <w:r>
        <w:rPr>
          <w:rFonts w:hint="eastAsia" w:ascii="仿宋_GB2312" w:hAnsi="MS Mincho" w:eastAsia="仿宋_GB2312" w:cs="MS Mincho"/>
          <w:kern w:val="0"/>
          <w:sz w:val="32"/>
          <w:szCs w:val="32"/>
        </w:rPr>
        <w:t>急</w:t>
      </w:r>
      <w:r>
        <w:rPr>
          <w:rFonts w:hint="eastAsia" w:ascii="仿宋_GB2312" w:hAnsi="宋体" w:eastAsia="仿宋_GB2312" w:cs="宋体"/>
          <w:kern w:val="0"/>
          <w:sz w:val="32"/>
          <w:szCs w:val="32"/>
        </w:rPr>
        <w:t>值</w:t>
      </w:r>
      <w:r>
        <w:rPr>
          <w:rFonts w:hint="eastAsia" w:ascii="仿宋_GB2312" w:hAnsi="MS Mincho" w:eastAsia="仿宋_GB2312" w:cs="MS Mincho"/>
          <w:kern w:val="0"/>
          <w:sz w:val="32"/>
          <w:szCs w:val="32"/>
        </w:rPr>
        <w:t>守接</w:t>
      </w:r>
      <w:r>
        <w:rPr>
          <w:rFonts w:hint="eastAsia" w:ascii="仿宋_GB2312" w:hAnsi="宋体" w:eastAsia="仿宋_GB2312" w:cs="宋体"/>
          <w:kern w:val="0"/>
          <w:sz w:val="32"/>
          <w:szCs w:val="32"/>
        </w:rPr>
        <w:t>报电话</w:t>
      </w:r>
      <w:r>
        <w:rPr>
          <w:rFonts w:hint="eastAsia" w:ascii="仿宋_GB2312" w:hAnsi="MS Mincho" w:eastAsia="仿宋_GB2312" w:cs="MS Mincho"/>
          <w:kern w:val="0"/>
          <w:sz w:val="32"/>
          <w:szCs w:val="32"/>
        </w:rPr>
        <w:t>：</w:t>
      </w:r>
      <w:r>
        <w:rPr>
          <w:rFonts w:hint="eastAsia" w:ascii="仿宋_GB2312" w:hAnsi="Calibri-Bold" w:eastAsia="仿宋_GB2312" w:cs="MicrosoftYaHei"/>
          <w:kern w:val="0"/>
          <w:sz w:val="32"/>
          <w:szCs w:val="32"/>
          <w:highlight w:val="none"/>
        </w:rPr>
        <w:t>022-</w:t>
      </w:r>
      <w:r>
        <w:rPr>
          <w:rFonts w:hint="eastAsia" w:ascii="仿宋_GB2312" w:hAnsi="Calibri-Bold" w:eastAsia="仿宋_GB2312" w:cs="MicrosoftYaHei"/>
          <w:kern w:val="0"/>
          <w:sz w:val="32"/>
          <w:szCs w:val="32"/>
          <w:highlight w:val="none"/>
          <w:lang w:val="en-US" w:eastAsia="zh-CN"/>
        </w:rPr>
        <w:t>66328811</w:t>
      </w:r>
      <w:r>
        <w:rPr>
          <w:rFonts w:hint="eastAsia" w:ascii="仿宋_GB2312" w:hAnsi="Calibri-Bold" w:eastAsia="仿宋_GB2312" w:cs="MicrosoftYaHei"/>
          <w:kern w:val="0"/>
          <w:sz w:val="32"/>
          <w:szCs w:val="32"/>
          <w:highlight w:val="none"/>
        </w:rPr>
        <w:t>（夜晚及非工作日），022-</w:t>
      </w:r>
      <w:r>
        <w:rPr>
          <w:rFonts w:hint="eastAsia" w:ascii="仿宋_GB2312" w:hAnsi="Calibri-Bold" w:eastAsia="仿宋_GB2312" w:cs="MicrosoftYaHei"/>
          <w:kern w:val="0"/>
          <w:sz w:val="32"/>
          <w:szCs w:val="32"/>
          <w:highlight w:val="none"/>
          <w:lang w:val="en-US" w:eastAsia="zh-CN"/>
        </w:rPr>
        <w:t>67139650</w:t>
      </w:r>
      <w:r>
        <w:rPr>
          <w:rFonts w:hint="eastAsia" w:ascii="Times New Roman" w:hAnsi="Times New Roman" w:eastAsia="仿宋_GB2312" w:cs="仿宋_GB2312"/>
          <w:sz w:val="32"/>
          <w:szCs w:val="32"/>
          <w:highlight w:val="none"/>
        </w:rPr>
        <w:t>（工作日白天）。</w:t>
      </w:r>
    </w:p>
    <w:p>
      <w:pPr>
        <w:autoSpaceDE w:val="0"/>
        <w:autoSpaceDN w:val="0"/>
        <w:adjustRightInd w:val="0"/>
        <w:snapToGrid w:val="0"/>
        <w:spacing w:line="620" w:lineRule="exact"/>
        <w:ind w:firstLine="640" w:firstLineChars="200"/>
        <w:rPr>
          <w:rFonts w:ascii="仿宋_GB2312" w:hAnsi="MS Mincho" w:eastAsia="仿宋_GB2312" w:cs="MS Mincho"/>
          <w:kern w:val="0"/>
          <w:sz w:val="32"/>
          <w:szCs w:val="32"/>
          <w:highlight w:val="yellow"/>
        </w:rPr>
      </w:pPr>
      <w:r>
        <w:rPr>
          <w:rFonts w:hint="eastAsia" w:ascii="仿宋_GB2312" w:hAnsi="MS Mincho" w:eastAsia="仿宋_GB2312" w:cs="MS Mincho"/>
          <w:kern w:val="0"/>
          <w:sz w:val="32"/>
          <w:szCs w:val="32"/>
        </w:rPr>
        <w:t>对于死亡人数接近或者可能超过10人的特种设备事故，已经或者有可能引发舆情炒作、造成负面影响的特种设备事故，要第一时间向区委、区政府报告。</w:t>
      </w:r>
    </w:p>
    <w:p>
      <w:pPr>
        <w:autoSpaceDE w:val="0"/>
        <w:autoSpaceDN w:val="0"/>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宋体" w:eastAsia="仿宋_GB2312" w:cs="宋体"/>
          <w:kern w:val="0"/>
          <w:sz w:val="32"/>
          <w:szCs w:val="32"/>
          <w:highlight w:val="none"/>
        </w:rPr>
        <w:t>报</w:t>
      </w:r>
      <w:r>
        <w:rPr>
          <w:rFonts w:hint="eastAsia" w:ascii="仿宋_GB2312" w:hAnsi="MS Mincho" w:eastAsia="仿宋_GB2312" w:cs="MS Mincho"/>
          <w:kern w:val="0"/>
          <w:sz w:val="32"/>
          <w:szCs w:val="32"/>
          <w:highlight w:val="none"/>
        </w:rPr>
        <w:t>告的内容包括：事故</w:t>
      </w:r>
      <w:r>
        <w:rPr>
          <w:rFonts w:hint="eastAsia" w:ascii="仿宋_GB2312" w:hAnsi="宋体" w:eastAsia="仿宋_GB2312" w:cs="宋体"/>
          <w:kern w:val="0"/>
          <w:sz w:val="32"/>
          <w:szCs w:val="32"/>
          <w:highlight w:val="none"/>
        </w:rPr>
        <w:t>发</w:t>
      </w:r>
      <w:r>
        <w:rPr>
          <w:rFonts w:hint="eastAsia" w:ascii="仿宋_GB2312" w:hAnsi="MS Mincho" w:eastAsia="仿宋_GB2312" w:cs="MS Mincho"/>
          <w:kern w:val="0"/>
          <w:sz w:val="32"/>
          <w:szCs w:val="32"/>
          <w:highlight w:val="none"/>
        </w:rPr>
        <w:t>生的</w:t>
      </w:r>
      <w:r>
        <w:rPr>
          <w:rFonts w:hint="eastAsia" w:ascii="仿宋_GB2312" w:hAnsi="宋体" w:eastAsia="仿宋_GB2312" w:cs="宋体"/>
          <w:kern w:val="0"/>
          <w:sz w:val="32"/>
          <w:szCs w:val="32"/>
          <w:highlight w:val="none"/>
        </w:rPr>
        <w:t>时间</w:t>
      </w:r>
      <w:r>
        <w:rPr>
          <w:rFonts w:hint="eastAsia" w:ascii="仿宋_GB2312" w:hAnsi="MS Mincho" w:eastAsia="仿宋_GB2312" w:cs="MS Mincho"/>
          <w:kern w:val="0"/>
          <w:sz w:val="32"/>
          <w:szCs w:val="32"/>
          <w:highlight w:val="none"/>
        </w:rPr>
        <w:t>、地点、单位概况以及特种设备种类；事故发生初步情况，包括事故简要经过、现场破坏情况、已经造成或者可能造成的伤亡和涉险人数、初步估计的直接经济损失、初步确立的事故等级、初步判断的事故原因；</w:t>
      </w:r>
      <w:r>
        <w:rPr>
          <w:rFonts w:hint="eastAsia" w:ascii="仿宋_GB2312" w:hAnsi="楷体_GB2312" w:eastAsia="仿宋_GB2312" w:cs="楷体_GB2312"/>
          <w:bCs/>
          <w:sz w:val="32"/>
          <w:szCs w:val="32"/>
        </w:rPr>
        <w:t>应急救援情况和已采取的措施；报告人的姓名、联系电话。</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楷体_GB2312" w:eastAsia="仿宋_GB2312" w:cs="楷体_GB2312"/>
          <w:bCs/>
          <w:sz w:val="32"/>
          <w:szCs w:val="32"/>
        </w:rPr>
        <w:t>报告事故后出现新情况的，以及对事故情况尚未报告清楚的，应当及时逐级续报。对于上级部门要求核实的情况，电话反馈时间不得超过20分钟。上级领导同志作出批示、提出要求后，相关区域或部门（单位）要及时报告落实情况。</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19" w:name="_Toc27633"/>
      <w:r>
        <w:rPr>
          <w:rFonts w:hint="eastAsia" w:ascii="楷体_GB2312" w:hAnsi="楷体_GB2312" w:eastAsia="楷体_GB2312" w:cs="楷体_GB2312"/>
        </w:rPr>
        <w:t>4.2 先期处置</w:t>
      </w:r>
      <w:bookmarkEnd w:id="19"/>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4.2.1 </w:t>
      </w:r>
      <w:r>
        <w:rPr>
          <w:rFonts w:hint="eastAsia" w:ascii="仿宋_GB2312" w:hAnsi="楷体" w:eastAsia="仿宋_GB2312"/>
          <w:sz w:val="32"/>
          <w:szCs w:val="32"/>
        </w:rPr>
        <w:t>事故发生后,事故单位在报告事故的同时,首先按照本单位制定的应急预案开展自救。尽快组织抢救伤员，判定事故原因和可能造成的危害，采取措施，防止事故扩大。严格保护事故现场,妥善保存现场相关物件及重要痕迹等各种物证。</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4.2.2 </w:t>
      </w:r>
      <w:r>
        <w:rPr>
          <w:rFonts w:hint="eastAsia" w:ascii="仿宋_GB2312" w:hAnsi="楷体" w:eastAsia="仿宋_GB2312"/>
          <w:sz w:val="32"/>
          <w:szCs w:val="32"/>
        </w:rPr>
        <w:t>指挥部根据特种设备事故情况,紧急启动相应级别的特种设备事故应急预案，先行赶赴现场的相关部门应根据事故现场情况,迅速成立现场应急机构，组织伤员抢救、灭火消毒、人员疏散、隐患处置工作。</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20" w:name="_Toc11236"/>
      <w:r>
        <w:rPr>
          <w:rFonts w:hint="eastAsia" w:ascii="楷体_GB2312" w:hAnsi="楷体_GB2312" w:eastAsia="楷体_GB2312" w:cs="楷体_GB2312"/>
        </w:rPr>
        <w:t>4.3 分级响应</w:t>
      </w:r>
      <w:bookmarkEnd w:id="20"/>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根据事故的可控性、严重程度和影响范围，本区域特种设备事故应急处置工作实行三级响应：</w:t>
      </w:r>
    </w:p>
    <w:p>
      <w:pPr>
        <w:adjustRightInd w:val="0"/>
        <w:snapToGrid w:val="0"/>
        <w:spacing w:line="62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一级响应：</w:t>
      </w:r>
      <w:r>
        <w:rPr>
          <w:rFonts w:hint="eastAsia" w:ascii="仿宋_GB2312" w:hAnsi="楷体" w:eastAsia="仿宋_GB2312"/>
          <w:sz w:val="32"/>
          <w:szCs w:val="32"/>
          <w:lang w:val="en-US" w:eastAsia="zh-CN"/>
        </w:rPr>
        <w:t>发生特别重大、重大特种设备事故时，依据《天津市特种设备事故应急预案》有关规定，由市指挥部实施应急处置工作，超出本市处置能力时及时报请国家市场监管总局派出指导协调组和事故调查组。</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eastAsia="仿宋_GB2312"/>
          <w:color w:val="000000"/>
          <w:sz w:val="32"/>
          <w:szCs w:val="32"/>
        </w:rPr>
        <w:t>二</w:t>
      </w:r>
      <w:r>
        <w:rPr>
          <w:rFonts w:hint="eastAsia" w:ascii="仿宋_GB2312" w:hAnsi="楷体" w:eastAsia="仿宋_GB2312"/>
          <w:sz w:val="32"/>
          <w:szCs w:val="32"/>
        </w:rPr>
        <w:t>级响应：</w:t>
      </w:r>
      <w:r>
        <w:rPr>
          <w:rFonts w:hint="eastAsia" w:ascii="仿宋_GB2312" w:hAnsi="楷体" w:eastAsia="仿宋_GB2312"/>
          <w:sz w:val="32"/>
          <w:szCs w:val="32"/>
          <w:lang w:val="en-US" w:eastAsia="zh-CN"/>
        </w:rPr>
        <w:t>发生较大特种设备事故时，在市指挥部指导下，由区指挥部组织实施应急处置工作</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三级响应：</w:t>
      </w:r>
      <w:r>
        <w:rPr>
          <w:rFonts w:hint="eastAsia" w:ascii="仿宋_GB2312" w:hAnsi="楷体" w:eastAsia="仿宋_GB2312"/>
          <w:sz w:val="32"/>
          <w:szCs w:val="32"/>
          <w:lang w:val="en-US" w:eastAsia="zh-CN"/>
        </w:rPr>
        <w:t>发生一般特种设备事故时，在区指挥部指导下，由</w:t>
      </w:r>
      <w:r>
        <w:rPr>
          <w:rFonts w:hint="eastAsia" w:ascii="仿宋_GB2312" w:hAnsi="楷体" w:eastAsia="仿宋_GB2312"/>
          <w:sz w:val="32"/>
          <w:szCs w:val="32"/>
        </w:rPr>
        <w:t>生态城特种设备事故应急指挥部</w:t>
      </w:r>
      <w:r>
        <w:rPr>
          <w:rFonts w:hint="eastAsia" w:ascii="仿宋_GB2312" w:hAnsi="楷体" w:eastAsia="仿宋_GB2312"/>
          <w:sz w:val="32"/>
          <w:szCs w:val="32"/>
          <w:lang w:val="en-US" w:eastAsia="zh-CN"/>
        </w:rPr>
        <w:t>组织实施应急处置工作，并及时逐级向区指挥部、市指挥部上报事故信息</w:t>
      </w:r>
      <w:r>
        <w:rPr>
          <w:rFonts w:hint="eastAsia" w:ascii="仿宋_GB2312" w:hAnsi="楷体" w:eastAsia="仿宋_GB2312"/>
          <w:sz w:val="32"/>
          <w:szCs w:val="32"/>
        </w:rPr>
        <w:t>。</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21" w:name="_Toc11218"/>
      <w:r>
        <w:rPr>
          <w:rFonts w:hint="eastAsia" w:ascii="楷体_GB2312" w:hAnsi="楷体_GB2312" w:eastAsia="楷体_GB2312" w:cs="楷体_GB2312"/>
        </w:rPr>
        <w:t>4.4 处置措施</w:t>
      </w:r>
      <w:bookmarkEnd w:id="21"/>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根据特种设备事故实际情况，指挥部采取以下一项或多项措施：</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_GB2312" w:eastAsia="仿宋_GB2312" w:cs="楷体_GB2312"/>
          <w:bCs/>
          <w:sz w:val="32"/>
          <w:szCs w:val="32"/>
        </w:rPr>
        <w:t>（1）</w:t>
      </w:r>
      <w:r>
        <w:rPr>
          <w:rFonts w:hint="eastAsia" w:ascii="仿宋_GB2312" w:hAnsi="楷体" w:eastAsia="仿宋_GB2312"/>
          <w:sz w:val="32"/>
          <w:szCs w:val="32"/>
        </w:rPr>
        <w:t>对事故危害情况进行初始评估，包括事故范围、事故危害扩展的潜在可能性以及人员伤亡和财产损失情况。</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（2）封</w:t>
      </w:r>
      <w:r>
        <w:rPr>
          <w:rFonts w:hint="eastAsia" w:ascii="仿宋_GB2312" w:hAnsi="楷体_GB2312" w:eastAsia="仿宋_GB2312" w:cs="楷体_GB2312"/>
          <w:bCs/>
          <w:sz w:val="32"/>
          <w:szCs w:val="32"/>
          <w:lang w:val="en-US" w:eastAsia="zh-CN"/>
        </w:rPr>
        <w:t>闭</w:t>
      </w:r>
      <w:r>
        <w:rPr>
          <w:rFonts w:hint="eastAsia" w:ascii="仿宋_GB2312" w:hAnsi="楷体_GB2312" w:eastAsia="仿宋_GB2312" w:cs="楷体_GB2312"/>
          <w:bCs/>
          <w:sz w:val="32"/>
          <w:szCs w:val="32"/>
        </w:rPr>
        <w:t>事故现场，建立现场抢险救援工作区域。根据事故的类别、规模、危害程度、天气条件以及污染现场监测结果等因素，设立现场抢险救援工作区域和安全疏散区域；开辟应急救援人员、车辆及物资进出的安全通道，维持事故现场的社会治安和交通秩序。</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（3）紧急疏散人员。发生危害介质泄漏时，应立即确定事发地周边居民和群众的疏散区域，下达人员疏散的指令，组织人员疏散和清场检查，并做好疏散过程中的医疗、卫生保障和救助。</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4）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控制事故扩大，消除事故危害和影响并防止可能发生的次生灾害。</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5）抢救伤员，组织救治。及时、科学、有序地开展受害人员的现场抢救或者安全转移，尽最大可能降低人员伤亡、减少财产损失；保障救护车辆由事故现场至救治医院的道路畅通；针对事故伤害特征，组织有关医疗机构、专家实施救治。</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（6）排查事故原因。组织有关专业技术人员排查事故原因，对事故设备检验检测并进行安全评估，排查可能存在的其他危害。</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7）疏散人员安置。紧急征用车辆，将从疏散区域转移出来的群众运送至安置场所；启动紧急避难场所（如中小学、影剧院、体育馆、公园、广场等），妥善安排疏散群众的食宿，做好对群众的宣传解释和安抚工作。必要时，通过各种新闻媒体发布公告，告知事故情况、影响区域、可能造成的危害以及自我防护知识。</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（8）应急人员的安全防护。参加应急处置和抢险救援的工作人员，按要求配备安全防护用品和必要的安全装备，在专业部门、专业人员的指导下对事故现场进行必要的技术处理。</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（9）社会动员。</w:t>
      </w:r>
      <w:r>
        <w:rPr>
          <w:rFonts w:hint="eastAsia" w:ascii="仿宋_GB2312" w:hAnsi="楷体_GB2312" w:eastAsia="仿宋_GB2312" w:cs="楷体_GB2312"/>
          <w:bCs/>
          <w:sz w:val="32"/>
          <w:szCs w:val="32"/>
          <w:lang w:val="en-US" w:eastAsia="zh-CN"/>
        </w:rPr>
        <w:t>指挥部</w:t>
      </w:r>
      <w:r>
        <w:rPr>
          <w:rFonts w:hint="eastAsia" w:ascii="仿宋_GB2312" w:hAnsi="楷体_GB2312" w:eastAsia="仿宋_GB2312" w:cs="楷体_GB2312"/>
          <w:bCs/>
          <w:sz w:val="32"/>
          <w:szCs w:val="32"/>
        </w:rPr>
        <w:t>在应急抢险救援过程中，负责动员、调动有关人员物资、设备、器材以及征用场地，有关单位和个人应给予支持、配合并提供尽可能的便利条件，任何单位和个人不得拖延、阻拦和拒绝。</w:t>
      </w:r>
    </w:p>
    <w:p>
      <w:pPr>
        <w:adjustRightInd w:val="0"/>
        <w:snapToGrid w:val="0"/>
        <w:spacing w:line="620" w:lineRule="exact"/>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10）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22" w:name="_Toc22627"/>
      <w:r>
        <w:rPr>
          <w:rFonts w:hint="eastAsia" w:ascii="楷体_GB2312" w:hAnsi="楷体_GB2312" w:eastAsia="楷体_GB2312" w:cs="楷体_GB2312"/>
        </w:rPr>
        <w:t>4.5 响应升级</w:t>
      </w:r>
      <w:bookmarkEnd w:id="22"/>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于下列</w:t>
      </w:r>
      <w:r>
        <w:rPr>
          <w:rFonts w:hint="eastAsia" w:ascii="仿宋_GB2312" w:hAnsi="宋体" w:eastAsia="仿宋_GB2312" w:cs="宋体"/>
          <w:kern w:val="0"/>
          <w:sz w:val="32"/>
          <w:szCs w:val="32"/>
        </w:rPr>
        <w:t>难</w:t>
      </w:r>
      <w:r>
        <w:rPr>
          <w:rFonts w:hint="eastAsia" w:ascii="仿宋_GB2312" w:hAnsi="MS Mincho" w:eastAsia="仿宋_GB2312" w:cs="MS Mincho"/>
          <w:kern w:val="0"/>
          <w:sz w:val="32"/>
          <w:szCs w:val="32"/>
        </w:rPr>
        <w:t>以控制或有</w:t>
      </w:r>
      <w:r>
        <w:rPr>
          <w:rFonts w:hint="eastAsia" w:ascii="仿宋_GB2312" w:hAnsi="宋体" w:eastAsia="仿宋_GB2312" w:cs="宋体"/>
          <w:kern w:val="0"/>
          <w:sz w:val="32"/>
          <w:szCs w:val="32"/>
        </w:rPr>
        <w:t>扩</w:t>
      </w:r>
      <w:r>
        <w:rPr>
          <w:rFonts w:hint="eastAsia" w:ascii="仿宋_GB2312" w:hAnsi="MS Mincho" w:eastAsia="仿宋_GB2312" w:cs="MS Mincho"/>
          <w:kern w:val="0"/>
          <w:sz w:val="32"/>
          <w:szCs w:val="32"/>
        </w:rPr>
        <w:t>大、</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展</w:t>
      </w:r>
      <w:r>
        <w:rPr>
          <w:rFonts w:hint="eastAsia" w:ascii="仿宋_GB2312" w:hAnsi="宋体" w:eastAsia="仿宋_GB2312" w:cs="宋体"/>
          <w:kern w:val="0"/>
          <w:sz w:val="32"/>
          <w:szCs w:val="32"/>
        </w:rPr>
        <w:t>趋势</w:t>
      </w:r>
      <w:r>
        <w:rPr>
          <w:rFonts w:hint="eastAsia" w:ascii="仿宋_GB2312" w:hAnsi="MS Mincho" w:eastAsia="仿宋_GB2312" w:cs="MS Mincho"/>
          <w:kern w:val="0"/>
          <w:sz w:val="32"/>
          <w:szCs w:val="32"/>
        </w:rPr>
        <w:t>的事故，</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采取果断措施，</w:t>
      </w:r>
      <w:r>
        <w:rPr>
          <w:rFonts w:hint="eastAsia" w:ascii="仿宋_GB2312" w:hAnsi="Calibri-Bold" w:eastAsia="仿宋_GB2312" w:cs="MicrosoftYaHei"/>
          <w:kern w:val="0"/>
          <w:sz w:val="32"/>
          <w:szCs w:val="32"/>
        </w:rPr>
        <w:t>迅速</w:t>
      </w:r>
      <w:r>
        <w:rPr>
          <w:rFonts w:hint="eastAsia" w:ascii="仿宋_GB2312" w:hAnsi="宋体" w:eastAsia="仿宋_GB2312" w:cs="宋体"/>
          <w:kern w:val="0"/>
          <w:sz w:val="32"/>
          <w:szCs w:val="32"/>
        </w:rPr>
        <w:t>扩</w:t>
      </w:r>
      <w:r>
        <w:rPr>
          <w:rFonts w:hint="eastAsia" w:ascii="仿宋_GB2312" w:hAnsi="MS Mincho" w:eastAsia="仿宋_GB2312" w:cs="MS Mincho"/>
          <w:kern w:val="0"/>
          <w:sz w:val="32"/>
          <w:szCs w:val="32"/>
        </w:rPr>
        <w:t>大疏散区域和</w:t>
      </w:r>
      <w:r>
        <w:rPr>
          <w:rFonts w:hint="eastAsia" w:ascii="仿宋_GB2312" w:hAnsi="宋体" w:eastAsia="仿宋_GB2312" w:cs="宋体"/>
          <w:kern w:val="0"/>
          <w:sz w:val="32"/>
          <w:szCs w:val="32"/>
        </w:rPr>
        <w:t>现场抢险</w:t>
      </w:r>
      <w:r>
        <w:rPr>
          <w:rFonts w:hint="eastAsia" w:ascii="仿宋_GB2312" w:hAnsi="MS Mincho" w:eastAsia="仿宋_GB2312" w:cs="MS Mincho"/>
          <w:kern w:val="0"/>
          <w:sz w:val="32"/>
          <w:szCs w:val="32"/>
        </w:rPr>
        <w:t>救援工作区域，撤离</w:t>
      </w:r>
      <w:r>
        <w:rPr>
          <w:rFonts w:hint="eastAsia" w:ascii="仿宋_GB2312" w:hAnsi="宋体" w:eastAsia="仿宋_GB2312" w:cs="宋体"/>
          <w:kern w:val="0"/>
          <w:sz w:val="32"/>
          <w:szCs w:val="32"/>
        </w:rPr>
        <w:t>现场</w:t>
      </w:r>
      <w:r>
        <w:rPr>
          <w:rFonts w:hint="eastAsia" w:ascii="仿宋_GB2312" w:hAnsi="MS Mincho" w:eastAsia="仿宋_GB2312" w:cs="MS Mincho"/>
          <w:kern w:val="0"/>
          <w:sz w:val="32"/>
          <w:szCs w:val="32"/>
        </w:rPr>
        <w:t>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，疏散群</w:t>
      </w:r>
      <w:r>
        <w:rPr>
          <w:rFonts w:hint="eastAsia" w:ascii="仿宋_GB2312" w:hAnsi="Calibri-Bold" w:eastAsia="仿宋_GB2312" w:cs="MicrosoftYaHei"/>
          <w:kern w:val="0"/>
          <w:sz w:val="32"/>
          <w:szCs w:val="32"/>
        </w:rPr>
        <w:t>众，防止造成危害</w:t>
      </w:r>
      <w:r>
        <w:rPr>
          <w:rFonts w:hint="eastAsia" w:ascii="仿宋_GB2312" w:hAnsi="宋体" w:eastAsia="仿宋_GB2312" w:cs="宋体"/>
          <w:kern w:val="0"/>
          <w:sz w:val="32"/>
          <w:szCs w:val="32"/>
        </w:rPr>
        <w:t>扩</w:t>
      </w:r>
      <w:r>
        <w:rPr>
          <w:rFonts w:hint="eastAsia" w:ascii="仿宋_GB2312" w:hAnsi="MS Mincho" w:eastAsia="仿宋_GB2312" w:cs="MS Mincho"/>
          <w:kern w:val="0"/>
          <w:sz w:val="32"/>
          <w:szCs w:val="32"/>
        </w:rPr>
        <w:t>大；当突</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事件事</w:t>
      </w:r>
      <w:r>
        <w:rPr>
          <w:rFonts w:hint="eastAsia" w:ascii="仿宋_GB2312" w:hAnsi="宋体" w:eastAsia="仿宋_GB2312" w:cs="宋体"/>
          <w:kern w:val="0"/>
          <w:sz w:val="32"/>
          <w:szCs w:val="32"/>
        </w:rPr>
        <w:t>态进</w:t>
      </w:r>
      <w:r>
        <w:rPr>
          <w:rFonts w:hint="eastAsia" w:ascii="仿宋_GB2312" w:hAnsi="MS Mincho" w:eastAsia="仿宋_GB2312" w:cs="MS Mincho"/>
          <w:kern w:val="0"/>
          <w:sz w:val="32"/>
          <w:szCs w:val="32"/>
        </w:rPr>
        <w:t>一步</w:t>
      </w:r>
      <w:r>
        <w:rPr>
          <w:rFonts w:hint="eastAsia" w:ascii="仿宋_GB2312" w:hAnsi="宋体" w:eastAsia="仿宋_GB2312" w:cs="宋体"/>
          <w:kern w:val="0"/>
          <w:sz w:val="32"/>
          <w:szCs w:val="32"/>
        </w:rPr>
        <w:t>扩</w:t>
      </w:r>
      <w:r>
        <w:rPr>
          <w:rFonts w:hint="eastAsia" w:ascii="仿宋_GB2312" w:hAnsi="MS Mincho" w:eastAsia="仿宋_GB2312" w:cs="MS Mincho"/>
          <w:kern w:val="0"/>
          <w:sz w:val="32"/>
          <w:szCs w:val="32"/>
        </w:rPr>
        <w:t>大，</w:t>
      </w:r>
      <w:r>
        <w:rPr>
          <w:rFonts w:hint="eastAsia" w:ascii="仿宋_GB2312" w:hAnsi="宋体" w:eastAsia="仿宋_GB2312" w:cs="宋体"/>
          <w:kern w:val="0"/>
          <w:sz w:val="32"/>
          <w:szCs w:val="32"/>
        </w:rPr>
        <w:t>预计</w:t>
      </w:r>
      <w:r>
        <w:rPr>
          <w:rFonts w:hint="eastAsia" w:ascii="仿宋_GB2312" w:hAnsi="MS Mincho" w:eastAsia="仿宋_GB2312" w:cs="MS Mincho"/>
          <w:kern w:val="0"/>
          <w:sz w:val="32"/>
          <w:szCs w:val="32"/>
        </w:rPr>
        <w:t>已</w:t>
      </w:r>
      <w:r>
        <w:rPr>
          <w:rFonts w:hint="eastAsia" w:ascii="仿宋_GB2312" w:hAnsi="宋体" w:eastAsia="仿宋_GB2312" w:cs="宋体"/>
          <w:kern w:val="0"/>
          <w:sz w:val="32"/>
          <w:szCs w:val="32"/>
        </w:rPr>
        <w:t>经</w:t>
      </w:r>
      <w:r>
        <w:rPr>
          <w:rFonts w:hint="eastAsia" w:ascii="仿宋_GB2312" w:hAnsi="MS Mincho" w:eastAsia="仿宋_GB2312" w:cs="MS Mincho"/>
          <w:kern w:val="0"/>
          <w:sz w:val="32"/>
          <w:szCs w:val="32"/>
        </w:rPr>
        <w:t>超出</w:t>
      </w:r>
      <w:r>
        <w:rPr>
          <w:rFonts w:hint="eastAsia" w:ascii="仿宋_GB2312" w:hAnsi="Calibri-Bold" w:eastAsia="仿宋_GB2312" w:cs="MicrosoftYaHei"/>
          <w:kern w:val="0"/>
          <w:sz w:val="32"/>
          <w:szCs w:val="32"/>
        </w:rPr>
        <w:t>初始判定的相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等</w:t>
      </w:r>
      <w:r>
        <w:rPr>
          <w:rFonts w:hint="eastAsia" w:ascii="仿宋_GB2312" w:hAnsi="宋体" w:eastAsia="仿宋_GB2312" w:cs="宋体"/>
          <w:kern w:val="0"/>
          <w:sz w:val="32"/>
          <w:szCs w:val="32"/>
        </w:rPr>
        <w:t>级时</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立即提高</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急响</w:t>
      </w:r>
      <w:r>
        <w:rPr>
          <w:rFonts w:hint="eastAsia" w:ascii="仿宋_GB2312" w:hAnsi="宋体" w:eastAsia="仿宋_GB2312" w:cs="宋体"/>
          <w:kern w:val="0"/>
          <w:sz w:val="32"/>
          <w:szCs w:val="32"/>
        </w:rPr>
        <w:t>应级别</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请</w:t>
      </w:r>
      <w:r>
        <w:rPr>
          <w:rFonts w:hint="eastAsia" w:ascii="仿宋_GB2312" w:hAnsi="MS Mincho" w:eastAsia="仿宋_GB2312" w:cs="MS Mincho"/>
          <w:kern w:val="0"/>
          <w:sz w:val="32"/>
          <w:szCs w:val="32"/>
        </w:rPr>
        <w:t>求支援。</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23" w:name="_Toc19090"/>
      <w:r>
        <w:rPr>
          <w:rFonts w:hint="eastAsia" w:ascii="楷体_GB2312" w:hAnsi="楷体_GB2312" w:eastAsia="楷体_GB2312" w:cs="楷体_GB2312"/>
        </w:rPr>
        <w:t>4.6 新闻报道</w:t>
      </w:r>
      <w:bookmarkEnd w:id="23"/>
    </w:p>
    <w:p>
      <w:pPr>
        <w:autoSpaceDE w:val="0"/>
        <w:autoSpaceDN w:val="0"/>
        <w:adjustRightInd w:val="0"/>
        <w:snapToGrid w:val="0"/>
        <w:spacing w:line="620" w:lineRule="exact"/>
        <w:ind w:firstLine="640" w:firstLineChars="200"/>
        <w:rPr>
          <w:rFonts w:hint="eastAsia" w:ascii="仿宋_GB2312" w:hAnsi="MS Mincho" w:eastAsia="仿宋_GB2312" w:cs="MS Mincho"/>
          <w:kern w:val="0"/>
          <w:sz w:val="32"/>
          <w:szCs w:val="32"/>
          <w:lang w:val="en-US" w:eastAsia="zh-CN"/>
        </w:rPr>
      </w:pPr>
      <w:r>
        <w:rPr>
          <w:rFonts w:hint="eastAsia" w:ascii="仿宋_GB2312" w:hAnsi="Calibri-Bold" w:eastAsia="仿宋_GB2312" w:cs="MicrosoftYaHei"/>
          <w:kern w:val="0"/>
          <w:sz w:val="32"/>
          <w:szCs w:val="32"/>
          <w:lang w:val="en-US" w:eastAsia="zh-CN"/>
        </w:rPr>
        <w:t xml:space="preserve">4.6.1 </w:t>
      </w:r>
      <w:r>
        <w:rPr>
          <w:rFonts w:hint="eastAsia" w:ascii="仿宋_GB2312" w:hAnsi="Calibri-Bold" w:eastAsia="仿宋_GB2312" w:cs="MicrosoftYaHei"/>
          <w:kern w:val="0"/>
          <w:sz w:val="32"/>
          <w:szCs w:val="32"/>
        </w:rPr>
        <w:t>党委办</w:t>
      </w:r>
      <w:r>
        <w:rPr>
          <w:rFonts w:hint="eastAsia" w:ascii="仿宋_GB2312" w:hAnsi="Calibri-Bold" w:eastAsia="仿宋_GB2312" w:cs="MicrosoftYaHei"/>
          <w:kern w:val="0"/>
          <w:sz w:val="32"/>
          <w:szCs w:val="32"/>
          <w:lang w:val="en-US" w:eastAsia="zh-CN"/>
        </w:rPr>
        <w:t>指导有关部门，做好特种设备事故应急新闻报道工作</w:t>
      </w:r>
      <w:r>
        <w:rPr>
          <w:rFonts w:hint="eastAsia" w:ascii="仿宋_GB2312" w:hAnsi="MS Mincho" w:eastAsia="仿宋_GB2312" w:cs="MS Mincho"/>
          <w:kern w:val="0"/>
          <w:sz w:val="32"/>
          <w:szCs w:val="32"/>
        </w:rPr>
        <w:t>。</w:t>
      </w:r>
      <w:r>
        <w:rPr>
          <w:rFonts w:hint="eastAsia" w:ascii="仿宋_GB2312" w:hAnsi="MS Mincho" w:eastAsia="仿宋_GB2312" w:cs="MS Mincho"/>
          <w:kern w:val="0"/>
          <w:sz w:val="32"/>
          <w:szCs w:val="32"/>
          <w:lang w:val="en-US" w:eastAsia="zh-CN"/>
        </w:rPr>
        <w:t>配合区宣传部做好较大、一般特种设备事故的信息发布与舆情引导工作。</w:t>
      </w:r>
    </w:p>
    <w:p>
      <w:pPr>
        <w:autoSpaceDE w:val="0"/>
        <w:autoSpaceDN w:val="0"/>
        <w:adjustRightInd w:val="0"/>
        <w:snapToGrid w:val="0"/>
        <w:spacing w:line="620" w:lineRule="exact"/>
        <w:ind w:firstLine="640" w:firstLineChars="200"/>
        <w:rPr>
          <w:rFonts w:hint="default" w:ascii="仿宋_GB2312" w:hAnsi="MS Mincho" w:eastAsia="仿宋_GB2312" w:cs="MS Mincho"/>
          <w:kern w:val="0"/>
          <w:sz w:val="32"/>
          <w:szCs w:val="32"/>
          <w:lang w:val="en-US" w:eastAsia="zh-CN"/>
        </w:rPr>
      </w:pPr>
      <w:r>
        <w:rPr>
          <w:rFonts w:hint="eastAsia" w:ascii="仿宋_GB2312" w:hAnsi="MS Mincho" w:eastAsia="仿宋_GB2312" w:cs="MS Mincho"/>
          <w:kern w:val="0"/>
          <w:sz w:val="32"/>
          <w:szCs w:val="32"/>
          <w:lang w:val="en-US" w:eastAsia="zh-CN"/>
        </w:rPr>
        <w:t>4.6.2 特别重大、重大特种设备事故的信息发布与舆情引导工作，根据《天津市特种设备事故应急预案》有关规定由市委宣传部统筹协调，市指挥部通讯报道组负责信息发布、舆情分析、舆情引导和媒体服务工作。未经批准，参与应急处置的单位和个人不得擅自对外发布消息。</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rPr>
      </w:pPr>
      <w:bookmarkStart w:id="24" w:name="_Toc21907"/>
      <w:r>
        <w:rPr>
          <w:rFonts w:hint="eastAsia" w:ascii="楷体_GB2312" w:hAnsi="楷体_GB2312" w:eastAsia="楷体_GB2312" w:cs="楷体_GB2312"/>
        </w:rPr>
        <w:t>4.7 应急结束</w:t>
      </w:r>
      <w:bookmarkEnd w:id="24"/>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 xml:space="preserve">4.7.1 </w:t>
      </w:r>
      <w:r>
        <w:rPr>
          <w:rFonts w:hint="eastAsia" w:ascii="仿宋_GB2312" w:hAnsi="Calibri-Bold" w:eastAsia="仿宋_GB2312" w:cs="MicrosoftYaHei"/>
          <w:kern w:val="0"/>
          <w:sz w:val="32"/>
          <w:szCs w:val="32"/>
        </w:rPr>
        <w:t>一般及以上</w:t>
      </w:r>
      <w:r>
        <w:rPr>
          <w:rFonts w:hint="eastAsia" w:ascii="仿宋_GB2312" w:hAnsi="MS Mincho" w:eastAsia="仿宋_GB2312" w:cs="MS Mincho"/>
          <w:kern w:val="0"/>
          <w:sz w:val="32"/>
          <w:szCs w:val="32"/>
        </w:rPr>
        <w:t>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事故经生态城党委、管委会研究批准后，报区委、区政府研究批准，由</w:t>
      </w:r>
      <w:r>
        <w:rPr>
          <w:rFonts w:hint="eastAsia" w:ascii="仿宋_GB2312" w:hAnsi="宋体" w:eastAsia="仿宋_GB2312" w:cs="宋体"/>
          <w:kern w:val="0"/>
          <w:sz w:val="32"/>
          <w:szCs w:val="32"/>
        </w:rPr>
        <w:t>区应急委或区指挥部</w:t>
      </w:r>
      <w:r>
        <w:rPr>
          <w:rFonts w:hint="eastAsia" w:ascii="仿宋_GB2312" w:hAnsi="MS Mincho" w:eastAsia="仿宋_GB2312" w:cs="MS Mincho"/>
          <w:kern w:val="0"/>
          <w:sz w:val="32"/>
          <w:szCs w:val="32"/>
        </w:rPr>
        <w:t>宣布</w:t>
      </w:r>
      <w:r>
        <w:rPr>
          <w:rFonts w:hint="eastAsia" w:ascii="仿宋_GB2312" w:hAnsi="宋体" w:eastAsia="仿宋_GB2312" w:cs="宋体"/>
          <w:kern w:val="0"/>
          <w:sz w:val="32"/>
          <w:szCs w:val="32"/>
        </w:rPr>
        <w:t>响应终止</w:t>
      </w:r>
      <w:r>
        <w:rPr>
          <w:rFonts w:hint="eastAsia" w:ascii="仿宋_GB2312" w:hAnsi="MS Mincho" w:eastAsia="仿宋_GB2312" w:cs="MS Mincho"/>
          <w:kern w:val="0"/>
          <w:sz w:val="32"/>
          <w:szCs w:val="32"/>
        </w:rPr>
        <w:t>。重大、特</w:t>
      </w:r>
      <w:r>
        <w:rPr>
          <w:rFonts w:hint="eastAsia" w:ascii="仿宋_GB2312" w:hAnsi="宋体" w:eastAsia="仿宋_GB2312" w:cs="宋体"/>
          <w:kern w:val="0"/>
          <w:sz w:val="32"/>
          <w:szCs w:val="32"/>
        </w:rPr>
        <w:t>别</w:t>
      </w:r>
      <w:r>
        <w:rPr>
          <w:rFonts w:hint="eastAsia" w:ascii="仿宋_GB2312" w:hAnsi="MS Mincho" w:eastAsia="仿宋_GB2312" w:cs="MS Mincho"/>
          <w:kern w:val="0"/>
          <w:sz w:val="32"/>
          <w:szCs w:val="32"/>
        </w:rPr>
        <w:t>重大特种</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事故经市委、市政府研究批准后，由市应急委或市指</w:t>
      </w:r>
      <w:r>
        <w:rPr>
          <w:rFonts w:hint="eastAsia" w:ascii="仿宋_GB2312" w:hAnsi="宋体" w:eastAsia="仿宋_GB2312" w:cs="宋体"/>
          <w:kern w:val="0"/>
          <w:sz w:val="32"/>
          <w:szCs w:val="32"/>
        </w:rPr>
        <w:t>挥</w:t>
      </w:r>
      <w:r>
        <w:rPr>
          <w:rFonts w:hint="eastAsia" w:ascii="仿宋_GB2312" w:hAnsi="MS Mincho" w:eastAsia="仿宋_GB2312" w:cs="MS Mincho"/>
          <w:kern w:val="0"/>
          <w:sz w:val="32"/>
          <w:szCs w:val="32"/>
        </w:rPr>
        <w:t>部</w:t>
      </w:r>
      <w:r>
        <w:rPr>
          <w:rFonts w:hint="eastAsia" w:ascii="仿宋_GB2312" w:hAnsi="宋体" w:eastAsia="仿宋_GB2312" w:cs="宋体"/>
          <w:kern w:val="0"/>
          <w:sz w:val="32"/>
          <w:szCs w:val="32"/>
        </w:rPr>
        <w:t>宣布响应终止</w:t>
      </w:r>
      <w:r>
        <w:rPr>
          <w:rFonts w:hint="eastAsia" w:ascii="仿宋_GB2312" w:hAnsi="MS Mincho" w:eastAsia="仿宋_GB2312" w:cs="MS Mincho"/>
          <w:kern w:val="0"/>
          <w:sz w:val="32"/>
          <w:szCs w:val="32"/>
        </w:rPr>
        <w:t>。</w:t>
      </w:r>
      <w:r>
        <w:rPr>
          <w:rFonts w:hint="eastAsia" w:ascii="仿宋_GB2312" w:hAnsi="Calibri-Bold" w:eastAsia="仿宋_GB2312" w:cs="MicrosoftYaHei"/>
          <w:kern w:val="0"/>
          <w:sz w:val="32"/>
          <w:szCs w:val="32"/>
        </w:rPr>
        <w:t>应急结束后，现场应急救援队伍在指挥部部署下有序撤离，同时视情继续采取必要措施，防止灾情反弹或引发次生、衍生事故。</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楷体_GB2312" w:hAnsi="楷体_GB2312" w:eastAsia="楷体_GB2312" w:cs="楷体_GB2312"/>
          <w:bCs/>
          <w:sz w:val="32"/>
          <w:szCs w:val="32"/>
        </w:rPr>
        <w:t>4.7.2</w:t>
      </w:r>
      <w:r>
        <w:rPr>
          <w:rFonts w:hint="eastAsia" w:ascii="仿宋_GB2312" w:hAnsi="宋体" w:eastAsia="仿宋_GB2312" w:cs="宋体"/>
          <w:kern w:val="0"/>
          <w:sz w:val="32"/>
          <w:szCs w:val="32"/>
        </w:rPr>
        <w:t>应急结束</w:t>
      </w:r>
      <w:r>
        <w:rPr>
          <w:rFonts w:hint="eastAsia" w:ascii="仿宋_GB2312" w:hAnsi="MS Mincho" w:eastAsia="仿宋_GB2312" w:cs="MS Mincho"/>
          <w:kern w:val="0"/>
          <w:sz w:val="32"/>
          <w:szCs w:val="32"/>
        </w:rPr>
        <w:t>按照以下程序</w:t>
      </w:r>
      <w:r>
        <w:rPr>
          <w:rFonts w:hint="eastAsia" w:ascii="仿宋_GB2312" w:hAnsi="宋体" w:eastAsia="仿宋_GB2312" w:cs="宋体"/>
          <w:kern w:val="0"/>
          <w:sz w:val="32"/>
          <w:szCs w:val="32"/>
        </w:rPr>
        <w:t>进</w:t>
      </w:r>
      <w:r>
        <w:rPr>
          <w:rFonts w:hint="eastAsia" w:ascii="仿宋_GB2312" w:hAnsi="MS Mincho" w:eastAsia="仿宋_GB2312" w:cs="MS Mincho"/>
          <w:kern w:val="0"/>
          <w:sz w:val="32"/>
          <w:szCs w:val="32"/>
        </w:rPr>
        <w:t>行：</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1）事故现场隐患得到妥善处置，事故险情得到消除，经现场指挥部检查确认，不存在造成次生事故因素，不会对事故现场和周围环境造成火灾、中毒及环境影响时，根据响应级别，经批准，可以撤销疏散区域，撤回疏散人员。</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2）事故伤员全部送至医院救治，事故死亡人员遗体得到妥善处置，失踪人员已查明，事故现场处于保护状态，根据响应级别，经批准，可以撤销警戒区域，撤回事故应急救援队伍，事故现场交由事故单位或相关部门及事发地的社区。</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（3）具备下列条件时，生态城指挥部办公室可以向区应急指挥部报请应急结束：死亡和失踪人员已经查清；事故危害得以控制；次生事故因素已经消除；受伤人员基本得到救治；紧急疏散人员恢复正常生活。</w:t>
      </w:r>
    </w:p>
    <w:p>
      <w:pPr>
        <w:autoSpaceDE w:val="0"/>
        <w:autoSpaceDN w:val="0"/>
        <w:adjustRightInd w:val="0"/>
        <w:snapToGrid w:val="0"/>
        <w:spacing w:line="620" w:lineRule="exact"/>
        <w:ind w:firstLine="640" w:firstLineChars="200"/>
        <w:rPr>
          <w:rFonts w:ascii="仿宋_GB2312" w:hAnsi="Calibri-Bold" w:eastAsia="仿宋_GB2312" w:cs="MicrosoftYaHei"/>
          <w:kern w:val="0"/>
          <w:sz w:val="32"/>
          <w:szCs w:val="32"/>
        </w:rPr>
      </w:pPr>
      <w:r>
        <w:rPr>
          <w:rFonts w:hint="eastAsia" w:ascii="仿宋_GB2312" w:hAnsi="Calibri-Bold" w:eastAsia="仿宋_GB2312" w:cs="MicrosoftYaHei"/>
          <w:kern w:val="0"/>
          <w:sz w:val="32"/>
          <w:szCs w:val="32"/>
        </w:rPr>
        <w:t>（4）必要时，生态城应急指挥部通过信息发布平台和新闻媒体等向社会发布应急结束信息。</w:t>
      </w:r>
    </w:p>
    <w:p>
      <w:pPr>
        <w:pStyle w:val="2"/>
        <w:keepNext w:val="0"/>
        <w:keepLines w:val="0"/>
        <w:adjustRightInd w:val="0"/>
        <w:snapToGrid w:val="0"/>
        <w:spacing w:before="0" w:after="0" w:line="620" w:lineRule="exact"/>
        <w:ind w:firstLine="643" w:firstLineChars="200"/>
        <w:rPr>
          <w:rFonts w:ascii="黑体" w:hAnsi="黑体" w:eastAsia="黑体"/>
          <w:sz w:val="32"/>
          <w:szCs w:val="32"/>
        </w:rPr>
      </w:pPr>
      <w:bookmarkStart w:id="25" w:name="_Toc29780"/>
      <w:r>
        <w:rPr>
          <w:rFonts w:hint="eastAsia" w:ascii="黑体" w:hAnsi="黑体" w:eastAsia="黑体"/>
          <w:sz w:val="32"/>
          <w:szCs w:val="32"/>
        </w:rPr>
        <w:t>5 后期处置</w:t>
      </w:r>
      <w:bookmarkEnd w:id="25"/>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26" w:name="_Toc27507"/>
      <w:r>
        <w:rPr>
          <w:rFonts w:hint="eastAsia" w:ascii="楷体_GB2312" w:hAnsi="楷体_GB2312" w:eastAsia="楷体_GB2312" w:cs="楷体_GB2312"/>
        </w:rPr>
        <w:t>5.1 善后处置</w:t>
      </w:r>
      <w:bookmarkEnd w:id="26"/>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（1）</w:t>
      </w:r>
      <w:r>
        <w:rPr>
          <w:rFonts w:hint="eastAsia" w:ascii="仿宋_GB2312" w:hAnsi="楷体" w:eastAsia="仿宋_GB2312"/>
          <w:sz w:val="32"/>
          <w:szCs w:val="32"/>
          <w:lang w:val="en-US" w:eastAsia="zh-CN"/>
        </w:rPr>
        <w:t>在生态城党委、管委会的统一领导下，</w:t>
      </w:r>
      <w:r>
        <w:rPr>
          <w:rFonts w:hint="eastAsia" w:ascii="仿宋_GB2312" w:hAnsi="楷体" w:eastAsia="仿宋_GB2312"/>
          <w:sz w:val="32"/>
          <w:szCs w:val="32"/>
        </w:rPr>
        <w:t>善后处置工作由</w:t>
      </w:r>
      <w:r>
        <w:rPr>
          <w:rFonts w:hint="eastAsia" w:ascii="仿宋_GB2312" w:hAnsi="楷体" w:eastAsia="仿宋_GB2312"/>
          <w:sz w:val="32"/>
          <w:szCs w:val="32"/>
          <w:lang w:val="en-US" w:eastAsia="zh-CN"/>
        </w:rPr>
        <w:t>相关部门负责。</w:t>
      </w:r>
      <w:r>
        <w:rPr>
          <w:rFonts w:hint="eastAsia" w:ascii="仿宋_GB2312" w:hAnsi="楷体" w:eastAsia="仿宋_GB2312"/>
          <w:sz w:val="32"/>
          <w:szCs w:val="32"/>
        </w:rPr>
        <w:t>救援工作临时征用的房屋、运输工具、通信设备等物资，应当及时返还，造成损坏或无法返还的，按照有关规定给予补偿或做出其他恰当处理。</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（2）相关部门和事故发生单位要妥善处理事故伤亡人员，并做好家属的安置、救济、补偿和保险理赔。</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（3）做好污染物的收集、清理与处理等工作。</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（4）尽快恢复生产、生活正常秩序，消除事故后果和影响，安抚受灾和受影响人员，确保社会稳定。</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27" w:name="_Toc5089"/>
      <w:r>
        <w:rPr>
          <w:rFonts w:hint="eastAsia" w:ascii="楷体_GB2312" w:hAnsi="楷体_GB2312" w:eastAsia="楷体_GB2312" w:cs="楷体_GB2312"/>
        </w:rPr>
        <w:t>5.2 社会救助</w:t>
      </w:r>
      <w:bookmarkEnd w:id="27"/>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社会团体、个人或者国外机构捐赠资金和物资的管理与监督，由社会局、应急管理局等部门按国家法律法规的规定执行，严禁侵占、挪用。</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28" w:name="_Toc6499"/>
      <w:r>
        <w:rPr>
          <w:rFonts w:hint="eastAsia" w:ascii="楷体_GB2312" w:hAnsi="楷体_GB2312" w:eastAsia="楷体_GB2312" w:cs="楷体_GB2312"/>
        </w:rPr>
        <w:t xml:space="preserve">5.3 </w:t>
      </w:r>
      <w:r>
        <w:rPr>
          <w:rFonts w:hint="eastAsia" w:ascii="楷体_GB2312" w:hAnsi="楷体_GB2312" w:eastAsia="楷体_GB2312" w:cs="楷体_GB2312"/>
          <w:lang w:val="en-US" w:eastAsia="zh-CN"/>
        </w:rPr>
        <w:t>总结</w:t>
      </w:r>
      <w:r>
        <w:rPr>
          <w:rFonts w:hint="eastAsia" w:ascii="楷体_GB2312" w:hAnsi="楷体_GB2312" w:eastAsia="楷体_GB2312" w:cs="楷体_GB2312"/>
        </w:rPr>
        <w:t>评估</w:t>
      </w:r>
      <w:bookmarkEnd w:id="28"/>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指挥部办公室应对应急救援工作进行总结，报</w:t>
      </w:r>
      <w:r>
        <w:rPr>
          <w:rFonts w:hint="eastAsia" w:ascii="仿宋_GB2312" w:hAnsi="楷体" w:eastAsia="仿宋_GB2312"/>
          <w:sz w:val="32"/>
          <w:szCs w:val="32"/>
          <w:lang w:val="en-US" w:eastAsia="zh-CN"/>
        </w:rPr>
        <w:t>同</w:t>
      </w:r>
      <w:r>
        <w:rPr>
          <w:rFonts w:hint="eastAsia" w:ascii="仿宋_GB2312" w:hAnsi="楷体" w:eastAsia="仿宋_GB2312"/>
          <w:sz w:val="32"/>
          <w:szCs w:val="32"/>
        </w:rPr>
        <w:t>级指挥部、抄送相关单位。负责应急处置工作的指挥部办公室做好应急期间有关文字资料、图片资料、录像等资料整理归档工作。</w:t>
      </w:r>
    </w:p>
    <w:p>
      <w:pPr>
        <w:pStyle w:val="2"/>
        <w:keepNext w:val="0"/>
        <w:keepLines w:val="0"/>
        <w:adjustRightInd w:val="0"/>
        <w:snapToGrid w:val="0"/>
        <w:spacing w:before="0" w:after="0" w:line="620" w:lineRule="exact"/>
        <w:ind w:firstLine="643" w:firstLineChars="200"/>
        <w:rPr>
          <w:rFonts w:ascii="黑体" w:hAnsi="黑体" w:eastAsia="黑体"/>
          <w:sz w:val="32"/>
          <w:szCs w:val="32"/>
        </w:rPr>
      </w:pPr>
      <w:bookmarkStart w:id="29" w:name="_Toc21483"/>
      <w:r>
        <w:rPr>
          <w:rFonts w:hint="eastAsia" w:ascii="黑体" w:hAnsi="黑体" w:eastAsia="黑体"/>
          <w:sz w:val="32"/>
          <w:szCs w:val="32"/>
        </w:rPr>
        <w:t>6 保障措施</w:t>
      </w:r>
      <w:bookmarkEnd w:id="29"/>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highlight w:val="none"/>
        </w:rPr>
      </w:pPr>
      <w:bookmarkStart w:id="30" w:name="_Toc11479"/>
      <w:r>
        <w:rPr>
          <w:rFonts w:hint="eastAsia" w:ascii="楷体_GB2312" w:hAnsi="楷体_GB2312" w:eastAsia="楷体_GB2312" w:cs="楷体_GB2312"/>
          <w:highlight w:val="none"/>
        </w:rPr>
        <w:t>6.1 通信与信息保障</w:t>
      </w:r>
      <w:bookmarkEnd w:id="30"/>
    </w:p>
    <w:p>
      <w:pPr>
        <w:adjustRightInd w:val="0"/>
        <w:snapToGrid w:val="0"/>
        <w:spacing w:line="620" w:lineRule="exact"/>
        <w:ind w:firstLine="640" w:firstLineChars="200"/>
        <w:rPr>
          <w:rFonts w:ascii="仿宋_GB2312" w:hAnsi="楷体" w:eastAsia="仿宋_GB2312"/>
          <w:sz w:val="32"/>
          <w:szCs w:val="32"/>
          <w:highlight w:val="yellow"/>
        </w:rPr>
      </w:pPr>
      <w:r>
        <w:rPr>
          <w:rFonts w:hint="eastAsia" w:ascii="楷体_GB2312" w:hAnsi="楷体_GB2312" w:eastAsia="楷体_GB2312" w:cs="楷体_GB2312"/>
          <w:bCs/>
          <w:sz w:val="32"/>
          <w:szCs w:val="32"/>
          <w:highlight w:val="none"/>
        </w:rPr>
        <w:t>6.1.1</w:t>
      </w:r>
      <w:r>
        <w:rPr>
          <w:rFonts w:hint="eastAsia" w:ascii="仿宋_GB2312" w:hAnsi="楷体" w:eastAsia="仿宋_GB2312"/>
          <w:sz w:val="32"/>
          <w:szCs w:val="32"/>
        </w:rPr>
        <w:t>应急处置期间，采用无线对讲机等通讯方式，保证事故现场与指挥部的联络通畅。易燃易爆场所应使用防爆型通讯设备。</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highlight w:val="none"/>
        </w:rPr>
        <w:t xml:space="preserve">6.1.2 </w:t>
      </w:r>
      <w:r>
        <w:rPr>
          <w:rFonts w:hint="eastAsia" w:ascii="仿宋_GB2312" w:hAnsi="楷体" w:eastAsia="仿宋_GB2312"/>
          <w:sz w:val="32"/>
          <w:szCs w:val="32"/>
          <w:highlight w:val="none"/>
          <w:lang w:val="en-US" w:eastAsia="zh-CN"/>
        </w:rPr>
        <w:t>指挥部办公室</w:t>
      </w:r>
      <w:r>
        <w:rPr>
          <w:rFonts w:hint="eastAsia" w:ascii="仿宋_GB2312" w:hAnsi="楷体" w:eastAsia="仿宋_GB2312"/>
          <w:sz w:val="32"/>
          <w:szCs w:val="32"/>
          <w:highlight w:val="none"/>
        </w:rPr>
        <w:t>制定包括本级别特种设备事故应急组织网络单位联络表和上级有关部门常用联系电话表，保证联络通畅。</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1" w:name="_Toc2935"/>
      <w:r>
        <w:rPr>
          <w:rFonts w:hint="eastAsia" w:ascii="楷体_GB2312" w:hAnsi="楷体_GB2312" w:eastAsia="楷体_GB2312" w:cs="楷体_GB2312"/>
        </w:rPr>
        <w:t>6.2 资金保障</w:t>
      </w:r>
      <w:bookmarkEnd w:id="31"/>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6.2.</w:t>
      </w: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 xml:space="preserve"> </w:t>
      </w:r>
      <w:r>
        <w:rPr>
          <w:rFonts w:hint="eastAsia" w:ascii="仿宋_GB2312" w:hAnsi="楷体" w:eastAsia="仿宋_GB2312"/>
          <w:sz w:val="32"/>
          <w:szCs w:val="32"/>
        </w:rPr>
        <w:t>财政局应设立应急专项资金，作为本区域内应急物资、人员装备、应急演练的经费来源，</w:t>
      </w:r>
      <w:r>
        <w:rPr>
          <w:rFonts w:hint="eastAsia" w:ascii="仿宋_GB2312" w:hAnsi="楷体" w:eastAsia="仿宋_GB2312"/>
          <w:sz w:val="32"/>
          <w:szCs w:val="32"/>
          <w:lang w:val="en-US" w:eastAsia="zh-CN"/>
        </w:rPr>
        <w:t>保障本区域应对突发特种设备事故经费需求</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6.2.</w:t>
      </w: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 xml:space="preserve"> </w:t>
      </w:r>
      <w:r>
        <w:rPr>
          <w:rFonts w:hint="eastAsia" w:ascii="仿宋_GB2312" w:hAnsi="楷体" w:eastAsia="仿宋_GB2312"/>
          <w:sz w:val="32"/>
          <w:szCs w:val="32"/>
        </w:rPr>
        <w:t>特种设备使用单位应设立安全生产专项资金，保障企业日常对危险源的监控、预防预警措施和应急演练的经费需求。</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2" w:name="_Toc27291"/>
      <w:r>
        <w:rPr>
          <w:rFonts w:hint="eastAsia" w:ascii="楷体_GB2312" w:hAnsi="楷体_GB2312" w:eastAsia="楷体_GB2312" w:cs="楷体_GB2312"/>
        </w:rPr>
        <w:t>6.3 队伍保障</w:t>
      </w:r>
      <w:bookmarkEnd w:id="32"/>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消防大队、属地派出所是生态城特种设备事故应急救援的主要救援力量。其他兼职消防力量及群众性志愿应急队伍是特种设备事故应急救援的补充力量。</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市场监管局应根据辖区内特种设备的分布特点，协调组建专业应急救援队伍。各专业应急救援队伍以特种设备从业单位为基础，以特种设备危险源集中的相关大中型企业的应急救援队伍为重点，按照有关规定配备人员、装备，开展培训、演练。</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市场监管局应按照有关法律、法规要求，督促特种设备使用单位落实特种设备应急救援措施。</w:t>
      </w: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组建应急救援专业队伍的单位应制定应急救援专业预案，落实应急救援的专业装备和措施，编制内部联络表册，并定期组织内部演练。</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3" w:name="_Toc30355"/>
      <w:r>
        <w:rPr>
          <w:rFonts w:hint="eastAsia" w:ascii="楷体_GB2312" w:hAnsi="楷体_GB2312" w:eastAsia="楷体_GB2312" w:cs="楷体_GB2312"/>
        </w:rPr>
        <w:t>6.4 装备保障</w:t>
      </w:r>
      <w:bookmarkEnd w:id="33"/>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lang w:val="en-US" w:eastAsia="zh-CN"/>
        </w:rPr>
        <w:t>市场监管局</w:t>
      </w:r>
      <w:r>
        <w:rPr>
          <w:rFonts w:hint="eastAsia" w:ascii="仿宋_GB2312" w:hAnsi="楷体" w:eastAsia="仿宋_GB2312"/>
          <w:sz w:val="32"/>
          <w:szCs w:val="32"/>
        </w:rPr>
        <w:t>针对可能发生的特种设备事故类型以及事故救援的需要和特点，依托企业建立专业救援队伍、储备有关专业应急救援物资。依托现有资源，合理布局并补充完善应急救援力量；为参加事故救援的公安、消防救援机构、应急救援抢险专业队伍等应急救援力量配备相适应的救援装备。</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4" w:name="_Toc18223"/>
      <w:r>
        <w:rPr>
          <w:rFonts w:hint="eastAsia" w:ascii="楷体_GB2312" w:hAnsi="楷体_GB2312" w:eastAsia="楷体_GB2312" w:cs="楷体_GB2312"/>
        </w:rPr>
        <w:t>6.5 其他资源保障</w:t>
      </w:r>
      <w:bookmarkEnd w:id="34"/>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对特种设备事故应急救援过程中涉及的医疗卫生保障、治安保障、社会动员保障、紧急避难场所保障等，各有关部门应认真履行职能，确保抢险工作顺利进行。</w:t>
      </w:r>
    </w:p>
    <w:p>
      <w:pPr>
        <w:pStyle w:val="2"/>
        <w:keepNext w:val="0"/>
        <w:keepLines w:val="0"/>
        <w:adjustRightInd w:val="0"/>
        <w:snapToGrid w:val="0"/>
        <w:spacing w:before="0" w:after="0" w:line="620" w:lineRule="exact"/>
        <w:ind w:firstLine="643" w:firstLineChars="200"/>
        <w:rPr>
          <w:rFonts w:ascii="黑体" w:hAnsi="黑体" w:eastAsia="黑体"/>
          <w:sz w:val="32"/>
          <w:szCs w:val="32"/>
        </w:rPr>
      </w:pPr>
      <w:bookmarkStart w:id="35" w:name="_Toc26050"/>
      <w:r>
        <w:rPr>
          <w:rFonts w:hint="eastAsia" w:ascii="黑体" w:hAnsi="黑体" w:eastAsia="黑体"/>
          <w:sz w:val="32"/>
          <w:szCs w:val="32"/>
        </w:rPr>
        <w:t>7 宣传教育、培训和应急演练</w:t>
      </w:r>
      <w:bookmarkEnd w:id="35"/>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6" w:name="_Toc20227"/>
      <w:r>
        <w:rPr>
          <w:rFonts w:hint="eastAsia" w:ascii="楷体_GB2312" w:hAnsi="楷体_GB2312" w:eastAsia="楷体_GB2312" w:cs="楷体_GB2312"/>
        </w:rPr>
        <w:t>7.1 宣传教育</w:t>
      </w:r>
      <w:bookmarkEnd w:id="36"/>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指挥部各成员单位及社区要加强事故预防、避险、避灾、自救、互救等知识的宣传教育，并向社会公布抢险电话。</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7" w:name="_Toc8644"/>
      <w:r>
        <w:rPr>
          <w:rFonts w:hint="eastAsia" w:ascii="楷体_GB2312" w:hAnsi="楷体_GB2312" w:eastAsia="楷体_GB2312" w:cs="楷体_GB2312"/>
        </w:rPr>
        <w:t>7.2 培训</w:t>
      </w:r>
      <w:bookmarkEnd w:id="37"/>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指挥部</w:t>
      </w:r>
      <w:r>
        <w:rPr>
          <w:rFonts w:hint="eastAsia" w:ascii="仿宋_GB2312" w:hAnsi="楷体" w:eastAsia="仿宋_GB2312"/>
          <w:sz w:val="32"/>
          <w:szCs w:val="32"/>
          <w:lang w:val="en-US" w:eastAsia="zh-CN"/>
        </w:rPr>
        <w:t>各成员单位要广泛宣传应急避险知识，深入普及自救互救技能，提高应急文化建设水平，</w:t>
      </w:r>
      <w:r>
        <w:rPr>
          <w:rFonts w:hint="eastAsia" w:ascii="仿宋_GB2312" w:hAnsi="楷体" w:eastAsia="仿宋_GB2312"/>
          <w:sz w:val="32"/>
          <w:szCs w:val="32"/>
        </w:rPr>
        <w:t>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38" w:name="_Toc9631"/>
      <w:r>
        <w:rPr>
          <w:rFonts w:hint="eastAsia" w:ascii="楷体_GB2312" w:hAnsi="楷体_GB2312" w:eastAsia="楷体_GB2312" w:cs="楷体_GB2312"/>
        </w:rPr>
        <w:t>7.3 应急演练</w:t>
      </w:r>
      <w:bookmarkEnd w:id="38"/>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特种设备使用单位每年至少组织1次特种设备事故应急演练，</w:t>
      </w:r>
      <w:r>
        <w:rPr>
          <w:rFonts w:hint="eastAsia" w:ascii="仿宋_GB2312" w:hAnsi="楷体" w:eastAsia="仿宋_GB2312"/>
          <w:sz w:val="32"/>
          <w:szCs w:val="32"/>
          <w:lang w:val="en-US" w:eastAsia="zh-CN"/>
        </w:rPr>
        <w:t>指挥部办公室依据本预案每1年至少组织1次特种设备事故应急演练，</w:t>
      </w:r>
      <w:r>
        <w:rPr>
          <w:rFonts w:hint="eastAsia" w:ascii="仿宋_GB2312" w:hAnsi="楷体" w:eastAsia="仿宋_GB2312"/>
          <w:sz w:val="32"/>
          <w:szCs w:val="32"/>
        </w:rPr>
        <w:t>检验应急预案，提高实战水平。演练结束后，</w:t>
      </w:r>
      <w:r>
        <w:rPr>
          <w:rFonts w:hint="eastAsia" w:ascii="仿宋_GB2312" w:hAnsi="楷体" w:eastAsia="仿宋_GB2312"/>
          <w:sz w:val="32"/>
          <w:szCs w:val="32"/>
          <w:lang w:val="en-US" w:eastAsia="zh-CN"/>
        </w:rPr>
        <w:t>应当</w:t>
      </w:r>
      <w:r>
        <w:rPr>
          <w:rFonts w:hint="eastAsia" w:ascii="仿宋_GB2312" w:hAnsi="楷体" w:eastAsia="仿宋_GB2312"/>
          <w:sz w:val="32"/>
          <w:szCs w:val="32"/>
        </w:rPr>
        <w:t>对演练情况进行评估、总结，对应急预案进行修订和完善。</w:t>
      </w:r>
    </w:p>
    <w:p>
      <w:pPr>
        <w:pStyle w:val="2"/>
        <w:keepNext w:val="0"/>
        <w:keepLines w:val="0"/>
        <w:adjustRightInd w:val="0"/>
        <w:snapToGrid w:val="0"/>
        <w:spacing w:before="0" w:after="0" w:line="620" w:lineRule="exact"/>
        <w:ind w:firstLine="643" w:firstLineChars="200"/>
        <w:rPr>
          <w:rFonts w:ascii="黑体" w:hAnsi="黑体" w:eastAsia="黑体"/>
          <w:sz w:val="32"/>
          <w:szCs w:val="32"/>
        </w:rPr>
      </w:pPr>
      <w:bookmarkStart w:id="39" w:name="_Toc28327"/>
      <w:r>
        <w:rPr>
          <w:rFonts w:hint="eastAsia" w:ascii="黑体" w:hAnsi="黑体" w:eastAsia="黑体"/>
          <w:sz w:val="32"/>
          <w:szCs w:val="32"/>
        </w:rPr>
        <w:t>8 附则</w:t>
      </w:r>
      <w:bookmarkEnd w:id="39"/>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40" w:name="_Toc31479"/>
      <w:r>
        <w:rPr>
          <w:rFonts w:hint="eastAsia" w:ascii="楷体_GB2312" w:hAnsi="楷体_GB2312" w:eastAsia="楷体_GB2312" w:cs="楷体_GB2312"/>
        </w:rPr>
        <w:t>8.1 责任与奖惩</w:t>
      </w:r>
      <w:bookmarkEnd w:id="40"/>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8.1.1 </w:t>
      </w:r>
      <w:r>
        <w:rPr>
          <w:rFonts w:hint="eastAsia" w:ascii="仿宋_GB2312" w:hAnsi="楷体" w:eastAsia="仿宋_GB2312"/>
          <w:sz w:val="32"/>
          <w:szCs w:val="32"/>
        </w:rPr>
        <w:t>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给予表彰和奖励。</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8.1.2 </w:t>
      </w:r>
      <w:r>
        <w:rPr>
          <w:rFonts w:hint="eastAsia" w:ascii="仿宋_GB2312" w:hAnsi="楷体" w:eastAsia="仿宋_GB2312"/>
          <w:sz w:val="32"/>
          <w:szCs w:val="32"/>
        </w:rPr>
        <w:t>任何单位和个人有义务向各级人民政府、市场监管部门以及有关部门报告特种设备事故及其隐患，有权举报不履行或者不按照规定履行事故应急处置职责的部门、单位和个人。</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8.1.3 </w:t>
      </w:r>
      <w:r>
        <w:rPr>
          <w:rFonts w:hint="eastAsia" w:ascii="仿宋_GB2312" w:hAnsi="楷体" w:eastAsia="仿宋_GB2312"/>
          <w:sz w:val="32"/>
          <w:szCs w:val="32"/>
        </w:rPr>
        <w:t>对瞒报、迟报、漏报、谎报、误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41" w:name="_Toc12349"/>
      <w:r>
        <w:rPr>
          <w:rFonts w:hint="eastAsia" w:ascii="楷体_GB2312" w:hAnsi="楷体_GB2312" w:eastAsia="楷体_GB2312" w:cs="楷体_GB2312"/>
        </w:rPr>
        <w:t>8.2 涉外情况</w:t>
      </w:r>
      <w:bookmarkEnd w:id="41"/>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事故涉及外籍人员</w:t>
      </w:r>
      <w:r>
        <w:rPr>
          <w:rFonts w:hint="eastAsia" w:ascii="仿宋_GB2312" w:hAnsi="楷体" w:eastAsia="仿宋_GB2312"/>
          <w:sz w:val="32"/>
          <w:szCs w:val="32"/>
          <w:lang w:val="en-US" w:eastAsia="zh-CN"/>
        </w:rPr>
        <w:t>或港澳台地区人员</w:t>
      </w:r>
      <w:r>
        <w:rPr>
          <w:rFonts w:hint="eastAsia" w:ascii="仿宋_GB2312" w:hAnsi="楷体" w:eastAsia="仿宋_GB2312"/>
          <w:sz w:val="32"/>
          <w:szCs w:val="32"/>
        </w:rPr>
        <w:t>伤亡、失踪、被困的，参照涉外事故相关专项预案开展处置。</w:t>
      </w:r>
    </w:p>
    <w:p>
      <w:pPr>
        <w:pStyle w:val="3"/>
        <w:keepNext w:val="0"/>
        <w:keepLines w:val="0"/>
        <w:adjustRightInd w:val="0"/>
        <w:snapToGrid w:val="0"/>
        <w:spacing w:before="0" w:after="0" w:line="620" w:lineRule="exact"/>
        <w:ind w:firstLine="643" w:firstLineChars="200"/>
        <w:rPr>
          <w:rFonts w:ascii="楷体_GB2312" w:hAnsi="楷体_GB2312" w:eastAsia="楷体_GB2312" w:cs="楷体_GB2312"/>
          <w:b w:val="0"/>
        </w:rPr>
      </w:pPr>
      <w:bookmarkStart w:id="42" w:name="_Toc4223"/>
      <w:r>
        <w:rPr>
          <w:rFonts w:hint="eastAsia" w:ascii="楷体_GB2312" w:hAnsi="楷体_GB2312" w:eastAsia="楷体_GB2312" w:cs="楷体_GB2312"/>
        </w:rPr>
        <w:t>8.3 预案管理</w:t>
      </w:r>
      <w:bookmarkEnd w:id="42"/>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 xml:space="preserve">8.3.1 </w:t>
      </w:r>
      <w:r>
        <w:rPr>
          <w:rFonts w:hint="eastAsia" w:ascii="仿宋_GB2312" w:hAnsi="楷体" w:eastAsia="仿宋_GB2312"/>
          <w:sz w:val="32"/>
          <w:szCs w:val="32"/>
        </w:rPr>
        <w:t>本预案</w:t>
      </w:r>
      <w:r>
        <w:rPr>
          <w:rFonts w:hint="eastAsia" w:ascii="仿宋_GB2312" w:hAnsi="楷体" w:eastAsia="仿宋_GB2312"/>
          <w:sz w:val="32"/>
          <w:szCs w:val="32"/>
          <w:lang w:val="en-US" w:eastAsia="zh-CN"/>
        </w:rPr>
        <w:t>的解释工作</w:t>
      </w:r>
      <w:r>
        <w:rPr>
          <w:rFonts w:hint="eastAsia" w:ascii="仿宋_GB2312" w:hAnsi="楷体" w:eastAsia="仿宋_GB2312"/>
          <w:sz w:val="32"/>
          <w:szCs w:val="32"/>
        </w:rPr>
        <w:t>由</w:t>
      </w:r>
      <w:r>
        <w:rPr>
          <w:rFonts w:hint="eastAsia" w:ascii="仿宋_GB2312" w:hAnsi="楷体" w:eastAsia="仿宋_GB2312"/>
          <w:sz w:val="32"/>
          <w:szCs w:val="32"/>
          <w:lang w:val="en-US" w:eastAsia="zh-CN"/>
        </w:rPr>
        <w:t>市场监管局负责</w:t>
      </w:r>
      <w:r>
        <w:rPr>
          <w:rFonts w:hint="eastAsia" w:ascii="仿宋_GB2312" w:hAnsi="楷体" w:eastAsia="仿宋_GB2312"/>
          <w:sz w:val="32"/>
          <w:szCs w:val="32"/>
        </w:rPr>
        <w:t>。</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8.3.</w:t>
      </w: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 xml:space="preserve"> </w:t>
      </w:r>
      <w:r>
        <w:rPr>
          <w:rFonts w:hint="eastAsia" w:ascii="仿宋_GB2312" w:hAnsi="楷体" w:eastAsia="仿宋_GB2312"/>
          <w:sz w:val="32"/>
          <w:szCs w:val="32"/>
        </w:rPr>
        <w:t>指挥部办公室应结合应急管理工作实践，及时组织修订预案。遇有特殊情况可随时修订。修订后的应急预案应重新办理审查、论证、备案等各项程序。</w:t>
      </w:r>
    </w:p>
    <w:p>
      <w:pPr>
        <w:adjustRightInd w:val="0"/>
        <w:snapToGrid w:val="0"/>
        <w:spacing w:line="620" w:lineRule="exact"/>
        <w:ind w:firstLine="640" w:firstLineChars="200"/>
        <w:rPr>
          <w:rFonts w:ascii="仿宋_GB2312" w:hAnsi="楷体" w:eastAsia="仿宋_GB2312"/>
          <w:sz w:val="32"/>
          <w:szCs w:val="32"/>
        </w:rPr>
      </w:pPr>
      <w:r>
        <w:rPr>
          <w:rFonts w:hint="eastAsia" w:ascii="楷体_GB2312" w:hAnsi="楷体_GB2312" w:eastAsia="楷体_GB2312" w:cs="楷体_GB2312"/>
          <w:bCs/>
          <w:sz w:val="32"/>
          <w:szCs w:val="32"/>
        </w:rPr>
        <w:t>8.3.</w:t>
      </w: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 xml:space="preserve"> </w:t>
      </w:r>
      <w:r>
        <w:rPr>
          <w:rFonts w:hint="eastAsia" w:ascii="仿宋_GB2312" w:hAnsi="楷体" w:eastAsia="仿宋_GB2312"/>
          <w:sz w:val="32"/>
          <w:szCs w:val="32"/>
        </w:rPr>
        <w:t>本预案自发布之日起实施</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有效期5年</w:t>
      </w:r>
      <w:r>
        <w:rPr>
          <w:rFonts w:hint="eastAsia" w:ascii="仿宋_GB2312" w:hAnsi="楷体" w:eastAsia="仿宋_GB2312"/>
          <w:sz w:val="32"/>
          <w:szCs w:val="32"/>
        </w:rPr>
        <w:t>。</w:t>
      </w:r>
    </w:p>
    <w:p>
      <w:pPr>
        <w:adjustRightInd w:val="0"/>
        <w:snapToGrid w:val="0"/>
        <w:spacing w:line="620" w:lineRule="exact"/>
        <w:ind w:firstLine="640" w:firstLineChars="200"/>
        <w:rPr>
          <w:rFonts w:hint="eastAsia" w:ascii="仿宋_GB2312" w:hAnsi="楷体" w:eastAsia="仿宋_GB2312"/>
          <w:sz w:val="32"/>
          <w:szCs w:val="32"/>
        </w:rPr>
      </w:pPr>
    </w:p>
    <w:p>
      <w:pPr>
        <w:adjustRightInd w:val="0"/>
        <w:snapToGrid w:val="0"/>
        <w:spacing w:line="620" w:lineRule="exact"/>
        <w:ind w:firstLine="640" w:firstLineChars="200"/>
        <w:rPr>
          <w:rFonts w:ascii="仿宋_GB2312" w:hAnsi="楷体" w:eastAsia="仿宋_GB2312"/>
          <w:sz w:val="32"/>
          <w:szCs w:val="32"/>
        </w:rPr>
      </w:pPr>
      <w:r>
        <w:rPr>
          <w:rFonts w:hint="eastAsia" w:ascii="仿宋_GB2312" w:hAnsi="楷体" w:eastAsia="仿宋_GB2312"/>
          <w:sz w:val="32"/>
          <w:szCs w:val="32"/>
        </w:rPr>
        <w:t>附件：特种设备事故分级</w:t>
      </w:r>
    </w:p>
    <w:p>
      <w:pPr>
        <w:adjustRightInd w:val="0"/>
        <w:snapToGrid w:val="0"/>
        <w:spacing w:line="620" w:lineRule="exact"/>
        <w:ind w:firstLine="640" w:firstLineChars="200"/>
        <w:rPr>
          <w:rFonts w:ascii="仿宋_GB2312" w:hAnsi="楷体" w:eastAsia="仿宋_GB2312"/>
          <w:sz w:val="32"/>
          <w:szCs w:val="32"/>
        </w:rPr>
      </w:pPr>
    </w:p>
    <w:p>
      <w:pPr>
        <w:pStyle w:val="2"/>
        <w:keepNext w:val="0"/>
        <w:keepLines w:val="0"/>
        <w:adjustRightInd w:val="0"/>
        <w:snapToGrid w:val="0"/>
        <w:spacing w:before="0" w:after="0" w:line="620" w:lineRule="exact"/>
        <w:rPr>
          <w:rFonts w:ascii="仿宋_GB2312" w:hAnsi="楷体" w:eastAsia="仿宋_GB2312"/>
          <w:sz w:val="32"/>
          <w:szCs w:val="32"/>
        </w:rPr>
      </w:pPr>
      <w:r>
        <w:rPr>
          <w:rFonts w:ascii="黑体" w:hAnsi="黑体" w:eastAsia="黑体" w:cs="MicrosoftYaHei"/>
          <w:b w:val="0"/>
          <w:kern w:val="0"/>
          <w:sz w:val="32"/>
          <w:szCs w:val="32"/>
        </w:rPr>
        <w:br w:type="page"/>
      </w:r>
    </w:p>
    <w:p>
      <w:pPr>
        <w:adjustRightInd w:val="0"/>
        <w:snapToGrid w:val="0"/>
        <w:spacing w:line="620" w:lineRule="exact"/>
        <w:rPr>
          <w:rFonts w:ascii="黑体" w:hAnsi="黑体" w:eastAsia="黑体" w:cs="MicrosoftYaHei"/>
          <w:bCs/>
          <w:kern w:val="0"/>
          <w:sz w:val="32"/>
          <w:szCs w:val="32"/>
        </w:rPr>
      </w:pPr>
      <w:bookmarkStart w:id="43" w:name="_Toc95120057"/>
      <w:r>
        <w:rPr>
          <w:rFonts w:hint="eastAsia" w:ascii="黑体" w:hAnsi="黑体" w:eastAsia="黑体" w:cs="MicrosoftYaHei"/>
          <w:bCs/>
          <w:kern w:val="0"/>
          <w:sz w:val="32"/>
          <w:szCs w:val="32"/>
        </w:rPr>
        <w:t>附件</w:t>
      </w:r>
      <w:bookmarkEnd w:id="43"/>
    </w:p>
    <w:p>
      <w:pPr>
        <w:adjustRightInd w:val="0"/>
        <w:snapToGrid w:val="0"/>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特种设备事故分级</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1 有下列情形之一的，为特别重大特种设备事故：</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特种设备事故造成30人以上死亡，或者100人以上重伤</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包括急性工业中毒，下同</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，或者1亿元以上直接经济损失的；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2</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600兆瓦以上锅炉爆炸的；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3</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压力容器、压力管道有毒介质泄漏，造成15万人以上转移的；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4</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客运索道、大型游乐设施高空滞留100人以上并且时间在48小时以上的。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2 有下列情形之一的，为重大特种设备事故：</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特种设备事故造成10人以上30人以下死亡，或者50人以上100人以下重伤，或者5000万元以上1亿元以下直接经济损失的；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2</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600兆瓦以上锅炉因安全故障中断运行240小时以上的；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3</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压力容器、压力管道有毒介质泄漏，造成5万人以上15万人以下转移的；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4</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客运索道、大型游乐设施高空滞留100人以上并且时间在24小时以上48小时以下的。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3 有下列情形之一的，为较大特种设备事故：</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特种设备事故造成3人以上10人以下死亡，或者10人以上50人以下重伤，或者1000万元以上5000万元以下直接经济损失的；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2</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锅炉、压力容器、压力管道爆炸的；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3</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压力容器、压力管道有毒介质泄漏，造成1万人以上5万人以下转移的；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4</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起重机械整体倾覆的；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5</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客运索道、大型游乐设施高空滞留人员12小时以上的。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4 有下列情形之一的，为一般特种设备事故：</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1</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特种设备事故造成3人以下死亡，或者10人以下重伤，或者1万元以上1000万元以下直接经济损失的；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2</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压力容器、压力管道有毒介质泄漏，造成500人以上1万人以下转移的；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3</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电梯轿厢滞留人员2小时以上的；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4</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起重机械主要受力结构件折断或者起升机构坠落的；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5</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客运索道高空滞留人员3.5小时以上12小时以下的；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6</w:t>
      </w:r>
      <w:r>
        <w:rPr>
          <w:rFonts w:hint="eastAsia" w:ascii="仿宋_GB2312" w:hAnsi="Times New Roman" w:eastAsia="仿宋_GB2312" w:cs="仿宋_GB2312"/>
          <w:sz w:val="32"/>
          <w:szCs w:val="32"/>
          <w:lang w:val="en"/>
        </w:rPr>
        <w:t>）</w:t>
      </w:r>
      <w:r>
        <w:rPr>
          <w:rFonts w:hint="eastAsia" w:ascii="仿宋_GB2312" w:hAnsi="Times New Roman" w:eastAsia="仿宋_GB2312" w:cs="仿宋_GB2312"/>
          <w:sz w:val="32"/>
          <w:szCs w:val="32"/>
        </w:rPr>
        <w:t>大型游乐设施高空滞留人员1小时以上12小时以下的。</w:t>
      </w:r>
    </w:p>
    <w:p>
      <w:pPr>
        <w:adjustRightInd w:val="0"/>
        <w:snapToGrid w:val="0"/>
        <w:spacing w:line="560"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法律、法规、规章另有规定的，按其规定执行。本预案所称“以上”含本数，“以下”不含本数。</w:t>
      </w:r>
    </w:p>
    <w:p>
      <w:pPr>
        <w:spacing w:line="560" w:lineRule="exact"/>
        <w:ind w:firstLine="640" w:firstLineChars="200"/>
        <w:rPr>
          <w:rFonts w:ascii="仿宋_GB2312" w:hAnsi="Times New Roman" w:eastAsia="仿宋_GB2312"/>
          <w:sz w:val="32"/>
          <w:szCs w:val="32"/>
        </w:rPr>
      </w:pPr>
    </w:p>
    <w:p>
      <w:pPr>
        <w:spacing w:line="560" w:lineRule="exact"/>
        <w:ind w:firstLine="640" w:firstLineChars="200"/>
        <w:rPr>
          <w:rFonts w:ascii="仿宋_GB2312" w:hAnsi="Times New Roman" w:eastAsia="仿宋_GB2312"/>
          <w:sz w:val="32"/>
          <w:szCs w:val="32"/>
        </w:rPr>
      </w:pPr>
    </w:p>
    <w:p>
      <w:pPr>
        <w:spacing w:line="560" w:lineRule="exact"/>
        <w:ind w:firstLine="640" w:firstLineChars="200"/>
        <w:rPr>
          <w:rFonts w:ascii="仿宋_GB2312" w:hAnsi="Times New Roman" w:eastAsia="仿宋_GB2312"/>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YaHei">
    <w:altName w:val="Yu Gothic"/>
    <w:panose1 w:val="00000000000000000000"/>
    <w:charset w:val="80"/>
    <w:family w:val="auto"/>
    <w:pitch w:val="default"/>
    <w:sig w:usb0="00000000" w:usb1="00000000" w:usb2="00000010" w:usb3="00000000" w:csb0="00020001" w:csb1="00000000"/>
  </w:font>
  <w:font w:name="Yu Gothic">
    <w:panose1 w:val="020B0400000000000000"/>
    <w:charset w:val="80"/>
    <w:family w:val="auto"/>
    <w:pitch w:val="default"/>
    <w:sig w:usb0="E00002FF" w:usb1="2AC7FDFF" w:usb2="00000016" w:usb3="00000000" w:csb0="200200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Calibri-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Theme="minorEastAsia" w:hAnsiTheme="minorEastAsia"/>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37854218"/>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37854218"/>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0751571"/>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21</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90751571"/>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21</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jc0MzNkN2I0MGQ4ZjIzNTMxZjZlNThkOWE5MmUifQ=="/>
  </w:docVars>
  <w:rsids>
    <w:rsidRoot w:val="00355F38"/>
    <w:rsid w:val="000006BE"/>
    <w:rsid w:val="0000132E"/>
    <w:rsid w:val="00011F16"/>
    <w:rsid w:val="0003111A"/>
    <w:rsid w:val="00032B6F"/>
    <w:rsid w:val="00032F9C"/>
    <w:rsid w:val="00034D7F"/>
    <w:rsid w:val="00045B65"/>
    <w:rsid w:val="000464AC"/>
    <w:rsid w:val="00047434"/>
    <w:rsid w:val="00054844"/>
    <w:rsid w:val="000607A8"/>
    <w:rsid w:val="00063A03"/>
    <w:rsid w:val="00073172"/>
    <w:rsid w:val="0007476B"/>
    <w:rsid w:val="000862BC"/>
    <w:rsid w:val="000A1AB9"/>
    <w:rsid w:val="000A35DB"/>
    <w:rsid w:val="000A3E34"/>
    <w:rsid w:val="000A56B4"/>
    <w:rsid w:val="000B3CD7"/>
    <w:rsid w:val="000B4D82"/>
    <w:rsid w:val="000C44E7"/>
    <w:rsid w:val="000C7D70"/>
    <w:rsid w:val="000D1A25"/>
    <w:rsid w:val="000D1C84"/>
    <w:rsid w:val="000D36B9"/>
    <w:rsid w:val="000D3ECC"/>
    <w:rsid w:val="000D4D90"/>
    <w:rsid w:val="000E105E"/>
    <w:rsid w:val="000E65E3"/>
    <w:rsid w:val="000F4814"/>
    <w:rsid w:val="000F5A7A"/>
    <w:rsid w:val="000F5A9B"/>
    <w:rsid w:val="000F61C0"/>
    <w:rsid w:val="001078BF"/>
    <w:rsid w:val="0011274E"/>
    <w:rsid w:val="001150BD"/>
    <w:rsid w:val="00117D0E"/>
    <w:rsid w:val="001236B3"/>
    <w:rsid w:val="001274E5"/>
    <w:rsid w:val="00127E9A"/>
    <w:rsid w:val="001320C4"/>
    <w:rsid w:val="001404EC"/>
    <w:rsid w:val="00141881"/>
    <w:rsid w:val="00145176"/>
    <w:rsid w:val="00151EF5"/>
    <w:rsid w:val="00175525"/>
    <w:rsid w:val="001852A4"/>
    <w:rsid w:val="00185889"/>
    <w:rsid w:val="00193EA0"/>
    <w:rsid w:val="00196A66"/>
    <w:rsid w:val="00197A4C"/>
    <w:rsid w:val="001A1D30"/>
    <w:rsid w:val="001A4C9F"/>
    <w:rsid w:val="001A6F3E"/>
    <w:rsid w:val="001A7500"/>
    <w:rsid w:val="001B0093"/>
    <w:rsid w:val="001B496F"/>
    <w:rsid w:val="001D0104"/>
    <w:rsid w:val="001D291A"/>
    <w:rsid w:val="001D2E54"/>
    <w:rsid w:val="001D59BB"/>
    <w:rsid w:val="001D610E"/>
    <w:rsid w:val="001D61B5"/>
    <w:rsid w:val="001F5984"/>
    <w:rsid w:val="001F6A45"/>
    <w:rsid w:val="00200A10"/>
    <w:rsid w:val="00201B09"/>
    <w:rsid w:val="00205492"/>
    <w:rsid w:val="0021180D"/>
    <w:rsid w:val="00223F7C"/>
    <w:rsid w:val="00225772"/>
    <w:rsid w:val="00244D16"/>
    <w:rsid w:val="0024739A"/>
    <w:rsid w:val="00250BE4"/>
    <w:rsid w:val="00250F44"/>
    <w:rsid w:val="002543B8"/>
    <w:rsid w:val="0026001A"/>
    <w:rsid w:val="002642F4"/>
    <w:rsid w:val="00264BC2"/>
    <w:rsid w:val="0026718D"/>
    <w:rsid w:val="00267B36"/>
    <w:rsid w:val="00271E59"/>
    <w:rsid w:val="00273065"/>
    <w:rsid w:val="00274726"/>
    <w:rsid w:val="00277431"/>
    <w:rsid w:val="00282689"/>
    <w:rsid w:val="00282A21"/>
    <w:rsid w:val="002B7762"/>
    <w:rsid w:val="002C033D"/>
    <w:rsid w:val="002D43B4"/>
    <w:rsid w:val="002E09C7"/>
    <w:rsid w:val="002E1905"/>
    <w:rsid w:val="002E240C"/>
    <w:rsid w:val="002F14F3"/>
    <w:rsid w:val="002F4009"/>
    <w:rsid w:val="00306501"/>
    <w:rsid w:val="00313BB3"/>
    <w:rsid w:val="00314506"/>
    <w:rsid w:val="00316307"/>
    <w:rsid w:val="003252F0"/>
    <w:rsid w:val="0033111E"/>
    <w:rsid w:val="00351B4C"/>
    <w:rsid w:val="00355F38"/>
    <w:rsid w:val="00356BF7"/>
    <w:rsid w:val="00356DF7"/>
    <w:rsid w:val="00362630"/>
    <w:rsid w:val="00362F21"/>
    <w:rsid w:val="00365ED0"/>
    <w:rsid w:val="0037248A"/>
    <w:rsid w:val="003743DC"/>
    <w:rsid w:val="003752D9"/>
    <w:rsid w:val="00380678"/>
    <w:rsid w:val="003848BE"/>
    <w:rsid w:val="00385FC1"/>
    <w:rsid w:val="00390E6F"/>
    <w:rsid w:val="00394222"/>
    <w:rsid w:val="00394EFD"/>
    <w:rsid w:val="0039579C"/>
    <w:rsid w:val="003A1FDC"/>
    <w:rsid w:val="003A2D34"/>
    <w:rsid w:val="003A3BC7"/>
    <w:rsid w:val="003B65E4"/>
    <w:rsid w:val="003C3020"/>
    <w:rsid w:val="003C7DD9"/>
    <w:rsid w:val="003D0063"/>
    <w:rsid w:val="003D602B"/>
    <w:rsid w:val="003E5DA0"/>
    <w:rsid w:val="003F1B42"/>
    <w:rsid w:val="003F7ACB"/>
    <w:rsid w:val="003F7EB4"/>
    <w:rsid w:val="00405D6B"/>
    <w:rsid w:val="00412D50"/>
    <w:rsid w:val="0042162F"/>
    <w:rsid w:val="00421BAE"/>
    <w:rsid w:val="004250C4"/>
    <w:rsid w:val="00432532"/>
    <w:rsid w:val="0043253E"/>
    <w:rsid w:val="00444584"/>
    <w:rsid w:val="00447631"/>
    <w:rsid w:val="004479A8"/>
    <w:rsid w:val="0045729A"/>
    <w:rsid w:val="00467A14"/>
    <w:rsid w:val="00491598"/>
    <w:rsid w:val="00495B1E"/>
    <w:rsid w:val="004A3907"/>
    <w:rsid w:val="004A75BC"/>
    <w:rsid w:val="004B051F"/>
    <w:rsid w:val="004B72AC"/>
    <w:rsid w:val="004C35CF"/>
    <w:rsid w:val="004D1360"/>
    <w:rsid w:val="004D2201"/>
    <w:rsid w:val="004E439C"/>
    <w:rsid w:val="005025DA"/>
    <w:rsid w:val="00503135"/>
    <w:rsid w:val="00512676"/>
    <w:rsid w:val="005142D0"/>
    <w:rsid w:val="00517105"/>
    <w:rsid w:val="00517EFC"/>
    <w:rsid w:val="00521E78"/>
    <w:rsid w:val="0053297C"/>
    <w:rsid w:val="00542759"/>
    <w:rsid w:val="00542B17"/>
    <w:rsid w:val="005447CE"/>
    <w:rsid w:val="00547652"/>
    <w:rsid w:val="0055161E"/>
    <w:rsid w:val="00557E35"/>
    <w:rsid w:val="00574ACC"/>
    <w:rsid w:val="00575AA5"/>
    <w:rsid w:val="00595C08"/>
    <w:rsid w:val="00597805"/>
    <w:rsid w:val="005979E9"/>
    <w:rsid w:val="005A0136"/>
    <w:rsid w:val="005A09D7"/>
    <w:rsid w:val="005A7D6D"/>
    <w:rsid w:val="005B17FE"/>
    <w:rsid w:val="005B3D64"/>
    <w:rsid w:val="005B475F"/>
    <w:rsid w:val="005C0C3D"/>
    <w:rsid w:val="005C1938"/>
    <w:rsid w:val="005C3711"/>
    <w:rsid w:val="005D1BED"/>
    <w:rsid w:val="005E18CD"/>
    <w:rsid w:val="005E4F36"/>
    <w:rsid w:val="005E5FE2"/>
    <w:rsid w:val="005E7F69"/>
    <w:rsid w:val="005F18A6"/>
    <w:rsid w:val="005F3B58"/>
    <w:rsid w:val="005F48D0"/>
    <w:rsid w:val="006137B3"/>
    <w:rsid w:val="00613EDF"/>
    <w:rsid w:val="0061454D"/>
    <w:rsid w:val="006169D8"/>
    <w:rsid w:val="0061729E"/>
    <w:rsid w:val="00617EB8"/>
    <w:rsid w:val="006370BD"/>
    <w:rsid w:val="00650422"/>
    <w:rsid w:val="00667E57"/>
    <w:rsid w:val="0067739C"/>
    <w:rsid w:val="006807B0"/>
    <w:rsid w:val="0069089F"/>
    <w:rsid w:val="0069738D"/>
    <w:rsid w:val="006A2EF0"/>
    <w:rsid w:val="006A756F"/>
    <w:rsid w:val="006C2008"/>
    <w:rsid w:val="006E33D9"/>
    <w:rsid w:val="006F2E8A"/>
    <w:rsid w:val="006F4678"/>
    <w:rsid w:val="006F6D2D"/>
    <w:rsid w:val="00705E70"/>
    <w:rsid w:val="00721335"/>
    <w:rsid w:val="00722FA7"/>
    <w:rsid w:val="00725798"/>
    <w:rsid w:val="00727C6F"/>
    <w:rsid w:val="00730CA0"/>
    <w:rsid w:val="00745333"/>
    <w:rsid w:val="007505D0"/>
    <w:rsid w:val="007540B8"/>
    <w:rsid w:val="0076414B"/>
    <w:rsid w:val="00764D75"/>
    <w:rsid w:val="0077132B"/>
    <w:rsid w:val="007749E8"/>
    <w:rsid w:val="007925C4"/>
    <w:rsid w:val="0079416D"/>
    <w:rsid w:val="0079709B"/>
    <w:rsid w:val="007B4205"/>
    <w:rsid w:val="007C1AFC"/>
    <w:rsid w:val="007D6CB3"/>
    <w:rsid w:val="007D766F"/>
    <w:rsid w:val="007E0519"/>
    <w:rsid w:val="007F08ED"/>
    <w:rsid w:val="007F37B3"/>
    <w:rsid w:val="007F54C3"/>
    <w:rsid w:val="008112E9"/>
    <w:rsid w:val="0082217A"/>
    <w:rsid w:val="00827DA8"/>
    <w:rsid w:val="00846667"/>
    <w:rsid w:val="0084701B"/>
    <w:rsid w:val="00850E9B"/>
    <w:rsid w:val="008537F8"/>
    <w:rsid w:val="00855975"/>
    <w:rsid w:val="0086794D"/>
    <w:rsid w:val="008718FF"/>
    <w:rsid w:val="00872FB6"/>
    <w:rsid w:val="00875A4C"/>
    <w:rsid w:val="00885304"/>
    <w:rsid w:val="008919D7"/>
    <w:rsid w:val="008A19B9"/>
    <w:rsid w:val="008A5E3D"/>
    <w:rsid w:val="008A6604"/>
    <w:rsid w:val="008B0F16"/>
    <w:rsid w:val="008B531B"/>
    <w:rsid w:val="008C4AA5"/>
    <w:rsid w:val="008C75BE"/>
    <w:rsid w:val="008C7B88"/>
    <w:rsid w:val="008E1985"/>
    <w:rsid w:val="008E4E7C"/>
    <w:rsid w:val="008F187D"/>
    <w:rsid w:val="00903BB2"/>
    <w:rsid w:val="009106DC"/>
    <w:rsid w:val="009138B4"/>
    <w:rsid w:val="00923D48"/>
    <w:rsid w:val="00925228"/>
    <w:rsid w:val="0093321B"/>
    <w:rsid w:val="0093329B"/>
    <w:rsid w:val="0093594F"/>
    <w:rsid w:val="00945033"/>
    <w:rsid w:val="00951B51"/>
    <w:rsid w:val="00953356"/>
    <w:rsid w:val="0096382F"/>
    <w:rsid w:val="00963F93"/>
    <w:rsid w:val="00980A79"/>
    <w:rsid w:val="00982C01"/>
    <w:rsid w:val="00994414"/>
    <w:rsid w:val="0099549A"/>
    <w:rsid w:val="009A4675"/>
    <w:rsid w:val="009C3E6B"/>
    <w:rsid w:val="009E56F3"/>
    <w:rsid w:val="00A05128"/>
    <w:rsid w:val="00A05738"/>
    <w:rsid w:val="00A20282"/>
    <w:rsid w:val="00A334FE"/>
    <w:rsid w:val="00A35CF5"/>
    <w:rsid w:val="00A50AD9"/>
    <w:rsid w:val="00A51441"/>
    <w:rsid w:val="00A537A8"/>
    <w:rsid w:val="00A6029C"/>
    <w:rsid w:val="00A67597"/>
    <w:rsid w:val="00A67C11"/>
    <w:rsid w:val="00A72814"/>
    <w:rsid w:val="00A84D36"/>
    <w:rsid w:val="00A9201F"/>
    <w:rsid w:val="00A93AAD"/>
    <w:rsid w:val="00A9599C"/>
    <w:rsid w:val="00A96255"/>
    <w:rsid w:val="00AA45BE"/>
    <w:rsid w:val="00AC5A2C"/>
    <w:rsid w:val="00AD388A"/>
    <w:rsid w:val="00AD5E46"/>
    <w:rsid w:val="00AF5021"/>
    <w:rsid w:val="00AF7943"/>
    <w:rsid w:val="00AF7FEA"/>
    <w:rsid w:val="00B03E6E"/>
    <w:rsid w:val="00B0795E"/>
    <w:rsid w:val="00B10C95"/>
    <w:rsid w:val="00B116F2"/>
    <w:rsid w:val="00B1207F"/>
    <w:rsid w:val="00B14115"/>
    <w:rsid w:val="00B21869"/>
    <w:rsid w:val="00B26E5C"/>
    <w:rsid w:val="00B278EC"/>
    <w:rsid w:val="00B308AB"/>
    <w:rsid w:val="00B31C30"/>
    <w:rsid w:val="00B370DC"/>
    <w:rsid w:val="00B53E06"/>
    <w:rsid w:val="00B61623"/>
    <w:rsid w:val="00B70EE5"/>
    <w:rsid w:val="00B7689A"/>
    <w:rsid w:val="00B83B44"/>
    <w:rsid w:val="00B91F32"/>
    <w:rsid w:val="00BA793F"/>
    <w:rsid w:val="00BB155F"/>
    <w:rsid w:val="00BB205C"/>
    <w:rsid w:val="00BC1159"/>
    <w:rsid w:val="00BE0221"/>
    <w:rsid w:val="00BF1304"/>
    <w:rsid w:val="00C14BC3"/>
    <w:rsid w:val="00C20FDA"/>
    <w:rsid w:val="00C24108"/>
    <w:rsid w:val="00C26BDB"/>
    <w:rsid w:val="00C318EA"/>
    <w:rsid w:val="00C349C8"/>
    <w:rsid w:val="00C46E37"/>
    <w:rsid w:val="00C50385"/>
    <w:rsid w:val="00C51D0F"/>
    <w:rsid w:val="00C52B14"/>
    <w:rsid w:val="00C80E24"/>
    <w:rsid w:val="00C84565"/>
    <w:rsid w:val="00C86093"/>
    <w:rsid w:val="00C907C0"/>
    <w:rsid w:val="00C962A4"/>
    <w:rsid w:val="00CA265C"/>
    <w:rsid w:val="00CA327B"/>
    <w:rsid w:val="00CA4B7E"/>
    <w:rsid w:val="00CA4C26"/>
    <w:rsid w:val="00CB0227"/>
    <w:rsid w:val="00CB427F"/>
    <w:rsid w:val="00CB7784"/>
    <w:rsid w:val="00CC4D01"/>
    <w:rsid w:val="00CC6E6F"/>
    <w:rsid w:val="00CD1B69"/>
    <w:rsid w:val="00CE2FEA"/>
    <w:rsid w:val="00CE3FFC"/>
    <w:rsid w:val="00CF768C"/>
    <w:rsid w:val="00CF7F4C"/>
    <w:rsid w:val="00D01512"/>
    <w:rsid w:val="00D01DC8"/>
    <w:rsid w:val="00D113CF"/>
    <w:rsid w:val="00D116BD"/>
    <w:rsid w:val="00D14273"/>
    <w:rsid w:val="00D25AC8"/>
    <w:rsid w:val="00D26B06"/>
    <w:rsid w:val="00D30DDD"/>
    <w:rsid w:val="00D538FE"/>
    <w:rsid w:val="00D53E63"/>
    <w:rsid w:val="00D57ED6"/>
    <w:rsid w:val="00D6446B"/>
    <w:rsid w:val="00D73B1A"/>
    <w:rsid w:val="00D751B3"/>
    <w:rsid w:val="00D767F3"/>
    <w:rsid w:val="00D90AEB"/>
    <w:rsid w:val="00D93A64"/>
    <w:rsid w:val="00D9578B"/>
    <w:rsid w:val="00DA0126"/>
    <w:rsid w:val="00DA2669"/>
    <w:rsid w:val="00DA3121"/>
    <w:rsid w:val="00DA4137"/>
    <w:rsid w:val="00DB2EEB"/>
    <w:rsid w:val="00DC77A8"/>
    <w:rsid w:val="00DD1C7D"/>
    <w:rsid w:val="00DD53D7"/>
    <w:rsid w:val="00DE52CA"/>
    <w:rsid w:val="00DE5B85"/>
    <w:rsid w:val="00DE762B"/>
    <w:rsid w:val="00DF0103"/>
    <w:rsid w:val="00E01AEC"/>
    <w:rsid w:val="00E25170"/>
    <w:rsid w:val="00E27C8C"/>
    <w:rsid w:val="00E32858"/>
    <w:rsid w:val="00E35F80"/>
    <w:rsid w:val="00E42313"/>
    <w:rsid w:val="00E46A00"/>
    <w:rsid w:val="00E47B69"/>
    <w:rsid w:val="00E54447"/>
    <w:rsid w:val="00E55A87"/>
    <w:rsid w:val="00E62757"/>
    <w:rsid w:val="00E729A3"/>
    <w:rsid w:val="00E7390B"/>
    <w:rsid w:val="00E80208"/>
    <w:rsid w:val="00E81796"/>
    <w:rsid w:val="00E85EEC"/>
    <w:rsid w:val="00E87935"/>
    <w:rsid w:val="00E91AF0"/>
    <w:rsid w:val="00E9261F"/>
    <w:rsid w:val="00E9386E"/>
    <w:rsid w:val="00E93C56"/>
    <w:rsid w:val="00E954B9"/>
    <w:rsid w:val="00EB4CA9"/>
    <w:rsid w:val="00EC4D77"/>
    <w:rsid w:val="00EC600C"/>
    <w:rsid w:val="00EC7F95"/>
    <w:rsid w:val="00ED028B"/>
    <w:rsid w:val="00ED196F"/>
    <w:rsid w:val="00ED19A3"/>
    <w:rsid w:val="00EE050F"/>
    <w:rsid w:val="00EF0E9A"/>
    <w:rsid w:val="00EF436A"/>
    <w:rsid w:val="00F01C2A"/>
    <w:rsid w:val="00F03C03"/>
    <w:rsid w:val="00F07CC3"/>
    <w:rsid w:val="00F177A6"/>
    <w:rsid w:val="00F25B4D"/>
    <w:rsid w:val="00F3110E"/>
    <w:rsid w:val="00F40CD4"/>
    <w:rsid w:val="00F44C24"/>
    <w:rsid w:val="00F473D4"/>
    <w:rsid w:val="00F549BB"/>
    <w:rsid w:val="00F6632D"/>
    <w:rsid w:val="00F66680"/>
    <w:rsid w:val="00F735DF"/>
    <w:rsid w:val="00F7431F"/>
    <w:rsid w:val="00F7498A"/>
    <w:rsid w:val="00F77D38"/>
    <w:rsid w:val="00F81755"/>
    <w:rsid w:val="00F85B08"/>
    <w:rsid w:val="00FA0982"/>
    <w:rsid w:val="00FA09BE"/>
    <w:rsid w:val="00FB0814"/>
    <w:rsid w:val="00FB2490"/>
    <w:rsid w:val="00FB580D"/>
    <w:rsid w:val="00FC0B68"/>
    <w:rsid w:val="00FC0E09"/>
    <w:rsid w:val="00FC28EC"/>
    <w:rsid w:val="00FD0739"/>
    <w:rsid w:val="00FD0CB1"/>
    <w:rsid w:val="00FD4268"/>
    <w:rsid w:val="00FE125E"/>
    <w:rsid w:val="00FE1655"/>
    <w:rsid w:val="01F653B3"/>
    <w:rsid w:val="037973C7"/>
    <w:rsid w:val="04DA41A2"/>
    <w:rsid w:val="07C13002"/>
    <w:rsid w:val="08A4238D"/>
    <w:rsid w:val="174E54B2"/>
    <w:rsid w:val="21675797"/>
    <w:rsid w:val="23D41BFD"/>
    <w:rsid w:val="2DED0375"/>
    <w:rsid w:val="2DF03927"/>
    <w:rsid w:val="2E372474"/>
    <w:rsid w:val="33AD7074"/>
    <w:rsid w:val="34DF17FA"/>
    <w:rsid w:val="43443F6B"/>
    <w:rsid w:val="4E94705A"/>
    <w:rsid w:val="54DB6111"/>
    <w:rsid w:val="58317057"/>
    <w:rsid w:val="5BF67DB9"/>
    <w:rsid w:val="63BF2CEB"/>
    <w:rsid w:val="64484A78"/>
    <w:rsid w:val="66FD6EB7"/>
    <w:rsid w:val="68C70FED"/>
    <w:rsid w:val="71711964"/>
    <w:rsid w:val="73810727"/>
    <w:rsid w:val="76DE4659"/>
    <w:rsid w:val="76F216F9"/>
    <w:rsid w:val="785059DC"/>
    <w:rsid w:val="795F33A0"/>
    <w:rsid w:val="7FAF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unhideWhenUsed/>
    <w:qFormat/>
    <w:uiPriority w:val="39"/>
    <w:pPr>
      <w:widowControl/>
      <w:spacing w:after="100" w:line="276" w:lineRule="auto"/>
      <w:ind w:left="220"/>
      <w:jc w:val="left"/>
    </w:pPr>
    <w:rPr>
      <w:kern w:val="0"/>
      <w:sz w:val="2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9"/>
    <w:rPr>
      <w:b/>
      <w:bCs/>
      <w:kern w:val="44"/>
      <w:sz w:val="44"/>
      <w:szCs w:val="44"/>
    </w:r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paragraph" w:customStyle="1" w:styleId="1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19">
    <w:name w:val="List Paragraph"/>
    <w:basedOn w:val="1"/>
    <w:qFormat/>
    <w:uiPriority w:val="34"/>
    <w:pPr>
      <w:ind w:firstLine="420" w:firstLineChars="200"/>
    </w:pPr>
  </w:style>
  <w:style w:type="paragraph" w:customStyle="1" w:styleId="20">
    <w:name w:val="封面2"/>
    <w:basedOn w:val="1"/>
    <w:qFormat/>
    <w:uiPriority w:val="0"/>
    <w:pPr>
      <w:ind w:firstLine="0" w:firstLineChars="0"/>
      <w:jc w:val="center"/>
    </w:pPr>
    <w:rPr>
      <w:rFonts w:ascii="仿宋" w:hAnsi="仿宋" w:eastAsia="仿宋" w:cs="Times New Roman"/>
      <w:b/>
      <w:sz w:val="36"/>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10484</Words>
  <Characters>10886</Characters>
  <Lines>114</Lines>
  <Paragraphs>32</Paragraphs>
  <TotalTime>0</TotalTime>
  <ScaleCrop>false</ScaleCrop>
  <LinksUpToDate>false</LinksUpToDate>
  <CharactersWithSpaces>11050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2021-07-06T10:20:00Z</dcterms:created>
  <dc:creator>李思露</dc:creator>
  <cp:lastModifiedBy>薛蔚晨ufo</cp:lastModifiedBy>
  <cp:lastPrinted>2020-05-09T10:47:00Z</cp:lastPrinted>
  <dcterms:modified xsi:type="dcterms:W3CDTF">2022-11-03T01:20:28Z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638981EBFBD541ED975606B2316A4FFB</vt:lpwstr>
  </property>
</Properties>
</file>