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eastAsia" w:ascii="宋体" w:hAnsi="宋体" w:eastAsia="宋体" w:cs="宋体"/>
          <w:b w:val="0"/>
          <w:bCs w:val="0"/>
          <w:i w:val="0"/>
          <w:iCs w:val="0"/>
          <w:caps w:val="0"/>
          <w:color w:val="3C3C3C"/>
          <w:spacing w:val="0"/>
          <w:sz w:val="44"/>
          <w:szCs w:val="44"/>
          <w:bdr w:val="none" w:color="auto" w:sz="0" w:space="0"/>
          <w:shd w:val="clear" w:fill="FFFFFF"/>
        </w:rPr>
      </w:pPr>
      <w:r>
        <w:rPr>
          <w:rFonts w:hint="eastAsia" w:ascii="宋体" w:hAnsi="宋体" w:eastAsia="宋体" w:cs="宋体"/>
          <w:b w:val="0"/>
          <w:bCs w:val="0"/>
          <w:i w:val="0"/>
          <w:iCs w:val="0"/>
          <w:caps w:val="0"/>
          <w:color w:val="3C3C3C"/>
          <w:spacing w:val="0"/>
          <w:sz w:val="44"/>
          <w:szCs w:val="44"/>
          <w:bdr w:val="none" w:color="auto" w:sz="0" w:space="0"/>
          <w:shd w:val="clear" w:fill="FFFFFF"/>
        </w:rPr>
        <w:t>市人社局关于进一步完善职称评价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eastAsia" w:ascii="微软雅黑" w:hAnsi="微软雅黑" w:eastAsia="微软雅黑" w:cs="微软雅黑"/>
          <w:b w:val="0"/>
          <w:bCs w:val="0"/>
          <w:i w:val="0"/>
          <w:iCs w:val="0"/>
          <w:caps w:val="0"/>
          <w:color w:val="3C3C3C"/>
          <w:spacing w:val="0"/>
          <w:sz w:val="44"/>
          <w:szCs w:val="44"/>
        </w:rPr>
      </w:pPr>
      <w:r>
        <w:rPr>
          <w:rFonts w:hint="eastAsia" w:ascii="宋体" w:hAnsi="宋体" w:eastAsia="宋体" w:cs="宋体"/>
          <w:b w:val="0"/>
          <w:bCs w:val="0"/>
          <w:i w:val="0"/>
          <w:iCs w:val="0"/>
          <w:caps w:val="0"/>
          <w:color w:val="3C3C3C"/>
          <w:spacing w:val="0"/>
          <w:sz w:val="44"/>
          <w:szCs w:val="44"/>
          <w:bdr w:val="none" w:color="auto" w:sz="0" w:space="0"/>
          <w:shd w:val="clear" w:fill="FFFFFF"/>
        </w:rPr>
        <w:t>激发企业创新活力的通知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3C3C3C"/>
          <w:spacing w:val="0"/>
          <w:sz w:val="31"/>
          <w:szCs w:val="31"/>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各区人力资源和社会保障局，各委办局（集团公司）、人民团体、大专院校人力资源部门，各职称专业主管部门：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为贯彻落实习近平总书记视察天津重要指示和在京津冀协同发展座谈会上重要讲话精神，深化</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以人民为中心</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的发展思想，深入推进</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海河英才</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行动计划，充分发挥职称评价的</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指挥棒</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作用，切实体现企业用人自主权，现就完善我市企业职称评价有关问题通知如下：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ascii="黑体" w:hAnsi="宋体" w:eastAsia="黑体" w:cs="黑体"/>
          <w:b w:val="0"/>
          <w:bCs w:val="0"/>
          <w:i w:val="0"/>
          <w:iCs w:val="0"/>
          <w:caps w:val="0"/>
          <w:color w:val="3C3C3C"/>
          <w:spacing w:val="0"/>
          <w:sz w:val="31"/>
          <w:szCs w:val="31"/>
          <w:bdr w:val="none" w:color="auto" w:sz="0" w:space="0"/>
          <w:shd w:val="clear" w:fill="FFFFFF"/>
        </w:rPr>
        <w:t>一、鼓励企业开展职称自主聘任和自主评审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在全面开展初级职称自主聘任的基础上，对博士、博士后或取得助理级职称</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2</w:t>
      </w:r>
      <w:r>
        <w:rPr>
          <w:rFonts w:hint="eastAsia" w:ascii="宋体" w:hAnsi="宋体" w:eastAsia="宋体" w:cs="宋体"/>
          <w:b w:val="0"/>
          <w:bCs w:val="0"/>
          <w:i w:val="0"/>
          <w:iCs w:val="0"/>
          <w:caps w:val="0"/>
          <w:color w:val="3C3C3C"/>
          <w:spacing w:val="0"/>
          <w:sz w:val="31"/>
          <w:szCs w:val="31"/>
          <w:bdr w:val="none" w:color="auto" w:sz="0" w:space="0"/>
          <w:shd w:val="clear" w:fill="FFFFFF"/>
        </w:rPr>
        <w:t>年以上的硕士，企业可自主聘任中级职称（以考代评的专业除外），有关要求参照《天津市用人单位聘任初级职称办法（试行）》执行；鼓励企业按照《天津市专业技术职称自主评审工作办法（试行）》申请开展自主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二、打破企业人才职称评审的级别限制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对我市各类企业引进和培养的海内外高层次人才、急需紧缺人才、优秀青年人才，不论是否取得过职称，企业可根据其业绩水平直接申报相应级别职称。其中，与我市企业签订工作协议</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1</w:t>
      </w:r>
      <w:r>
        <w:rPr>
          <w:rFonts w:hint="eastAsia" w:ascii="宋体" w:hAnsi="宋体" w:eastAsia="宋体" w:cs="宋体"/>
          <w:b w:val="0"/>
          <w:bCs w:val="0"/>
          <w:i w:val="0"/>
          <w:iCs w:val="0"/>
          <w:caps w:val="0"/>
          <w:color w:val="3C3C3C"/>
          <w:spacing w:val="0"/>
          <w:sz w:val="31"/>
          <w:szCs w:val="31"/>
          <w:bdr w:val="none" w:color="auto" w:sz="0" w:space="0"/>
          <w:shd w:val="clear" w:fill="FFFFFF"/>
        </w:rPr>
        <w:t>年以上且每年累计在津工作不少于</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2</w:t>
      </w:r>
      <w:r>
        <w:rPr>
          <w:rFonts w:hint="eastAsia" w:ascii="宋体" w:hAnsi="宋体" w:eastAsia="宋体" w:cs="宋体"/>
          <w:b w:val="0"/>
          <w:bCs w:val="0"/>
          <w:i w:val="0"/>
          <w:iCs w:val="0"/>
          <w:caps w:val="0"/>
          <w:color w:val="3C3C3C"/>
          <w:spacing w:val="0"/>
          <w:sz w:val="31"/>
          <w:szCs w:val="31"/>
          <w:bdr w:val="none" w:color="auto" w:sz="0" w:space="0"/>
          <w:shd w:val="clear" w:fill="FFFFFF"/>
        </w:rPr>
        <w:t>个月的柔性引进人才，可在我市按规定申报职称。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三、打破企业人才职称评审的论文限制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对企业已聘用的应用型人才，申报职称时可凭企业自主认定的专利、项目、案例、研究报告、试制总结、工作方案、设计文件等成果形式替代论文；对经市人才办认定的战略性新兴产业领军企业中的核心人才，可由企业董事长签署《业绩证明函》（见附件），用于替代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四、灵活认定企业人才的继续教育学时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对专业科目的继续教育学时，可凭企业认定的内部培训、同业交流、</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学习强国</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学习平台自学等学时替代；对公需科目的继续教育学时，经市人才办认定的战略性新兴产业领军企业，可从市人社局公布的年度专业技术人员继续教育公需科目指导目录中选取主题，自主组织培训并可认定学时。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五、进一步树立良好的职称评价导向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各级职称评审机构和评委专家，要强化</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产业第一、企业家老大</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的理念，克服唯论文、唯职称、唯学历、唯奖项的倾向，突出品德、能力、业绩，不拘一格选拔人才，形成优秀人才脱颖而出的良好氛围。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六、大力宣传企业职称评价政策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市人社局在官网和手机</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APP</w:t>
      </w:r>
      <w:r>
        <w:rPr>
          <w:rFonts w:ascii="仿宋_GB2312" w:hAnsi="宋体" w:eastAsia="仿宋_GB2312" w:cs="仿宋_GB2312"/>
          <w:b w:val="0"/>
          <w:bCs w:val="0"/>
          <w:i w:val="0"/>
          <w:iCs w:val="0"/>
          <w:caps w:val="0"/>
          <w:color w:val="3C3C3C"/>
          <w:spacing w:val="0"/>
          <w:sz w:val="31"/>
          <w:szCs w:val="31"/>
          <w:bdr w:val="none" w:color="auto" w:sz="0" w:space="0"/>
          <w:shd w:val="clear" w:fill="FFFFFF"/>
        </w:rPr>
        <w:t>的</w:t>
      </w:r>
      <w:r>
        <w:rPr>
          <w:rFonts w:hint="eastAsia" w:ascii="宋体" w:hAnsi="宋体" w:eastAsia="宋体" w:cs="宋体"/>
          <w:b w:val="0"/>
          <w:bCs w:val="0"/>
          <w:i w:val="0"/>
          <w:iCs w:val="0"/>
          <w:caps w:val="0"/>
          <w:color w:val="3C3C3C"/>
          <w:spacing w:val="0"/>
          <w:sz w:val="31"/>
          <w:szCs w:val="31"/>
          <w:bdr w:val="none" w:color="auto" w:sz="0" w:space="0"/>
          <w:shd w:val="clear" w:fill="FFFFFF"/>
        </w:rPr>
        <w:t>“政策一点通”栏目中，及时发布职称评价最新政策、各职称评审机构和服务机构的联系方式，方便企业和人才查询。各专业主管部门在各自网站，及时公布本专业最新评审标准和评审安排。各业务主管部门和职称服务机构要有计划的安排职称政策巡讲，通过进企业、进园区、进服务大厅，主动对接企业需求，提高政策经办人员和企业人资专员的政策应用水平。企业要及时获取职称工作信息，帮助人才做好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七、进一步提高职称评审信息化水平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完善“天津市职称管理信息系统”，推动全市各专业、各级别职称评审全覆盖，实现“网上申报、网上审核、网上反馈、网上查询”，做到“信息多跑路”“人才少跑腿”。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八、取消职称评审收费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进一步为人才减负，我市各职称评审机构向职称申报人收取的职称评审费一律取消。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本《通知》由市人社局负责解释，自</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2019</w:t>
      </w:r>
      <w:r>
        <w:rPr>
          <w:rFonts w:hint="eastAsia" w:ascii="宋体" w:hAnsi="宋体" w:eastAsia="宋体" w:cs="宋体"/>
          <w:b w:val="0"/>
          <w:bCs w:val="0"/>
          <w:i w:val="0"/>
          <w:iCs w:val="0"/>
          <w:caps w:val="0"/>
          <w:color w:val="3C3C3C"/>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7</w:t>
      </w:r>
      <w:r>
        <w:rPr>
          <w:rFonts w:hint="eastAsia" w:ascii="宋体" w:hAnsi="宋体" w:eastAsia="宋体" w:cs="宋体"/>
          <w:b w:val="0"/>
          <w:bCs w:val="0"/>
          <w:i w:val="0"/>
          <w:iCs w:val="0"/>
          <w:caps w:val="0"/>
          <w:color w:val="3C3C3C"/>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1</w:t>
      </w:r>
      <w:r>
        <w:rPr>
          <w:rFonts w:hint="eastAsia" w:ascii="宋体" w:hAnsi="宋体" w:eastAsia="宋体" w:cs="宋体"/>
          <w:b w:val="0"/>
          <w:bCs w:val="0"/>
          <w:i w:val="0"/>
          <w:iCs w:val="0"/>
          <w:caps w:val="0"/>
          <w:color w:val="3C3C3C"/>
          <w:spacing w:val="0"/>
          <w:sz w:val="31"/>
          <w:szCs w:val="31"/>
          <w:bdr w:val="none" w:color="auto" w:sz="0" w:space="0"/>
          <w:shd w:val="clear" w:fill="FFFFFF"/>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附件：业绩证明函（样式）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righ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2019</w:t>
      </w:r>
      <w:r>
        <w:rPr>
          <w:rFonts w:hint="eastAsia" w:ascii="宋体" w:hAnsi="宋体" w:eastAsia="宋体" w:cs="宋体"/>
          <w:b w:val="0"/>
          <w:bCs w:val="0"/>
          <w:i w:val="0"/>
          <w:iCs w:val="0"/>
          <w:caps w:val="0"/>
          <w:color w:val="3C3C3C"/>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6</w:t>
      </w:r>
      <w:r>
        <w:rPr>
          <w:rFonts w:hint="eastAsia" w:ascii="宋体" w:hAnsi="宋体" w:eastAsia="宋体" w:cs="宋体"/>
          <w:b w:val="0"/>
          <w:bCs w:val="0"/>
          <w:i w:val="0"/>
          <w:iCs w:val="0"/>
          <w:caps w:val="0"/>
          <w:color w:val="3C3C3C"/>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10</w:t>
      </w:r>
      <w:r>
        <w:rPr>
          <w:rFonts w:hint="eastAsia" w:ascii="宋体" w:hAnsi="宋体" w:eastAsia="宋体" w:cs="宋体"/>
          <w:b w:val="0"/>
          <w:bCs w:val="0"/>
          <w:i w:val="0"/>
          <w:iCs w:val="0"/>
          <w:caps w:val="0"/>
          <w:color w:val="3C3C3C"/>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5"/>
        <w:jc w:val="center"/>
        <w:rPr>
          <w:rFonts w:hint="eastAsia" w:ascii="宋体" w:hAnsi="宋体" w:eastAsia="宋体" w:cs="宋体"/>
          <w:b w:val="0"/>
          <w:bCs w:val="0"/>
          <w:i w:val="0"/>
          <w:iCs w:val="0"/>
          <w:caps w:val="0"/>
          <w:color w:val="3C3C3C"/>
          <w:spacing w:val="0"/>
          <w:sz w:val="43"/>
          <w:szCs w:val="43"/>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5"/>
        <w:jc w:val="center"/>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43"/>
          <w:szCs w:val="43"/>
          <w:bdr w:val="none" w:color="auto" w:sz="0" w:space="0"/>
          <w:shd w:val="clear" w:fill="FFFFFF"/>
        </w:rPr>
        <w:t>业绩证明函（样式）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5"/>
        <w:jc w:val="center"/>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天津市</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系列</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专业</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级专业技术资格评审委员会：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（姓名）同志为本公司核心人才，从事</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（岗位）专业技术工作</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年，在</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等方面做出了突出贡献，取得了如下业绩：</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（成果、专利、承担项目、取得效益等）。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同志拟申报我市</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系列</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专业</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w:t>
      </w:r>
      <w:r>
        <w:rPr>
          <w:rFonts w:hint="eastAsia" w:ascii="宋体" w:hAnsi="宋体" w:eastAsia="宋体" w:cs="宋体"/>
          <w:b w:val="0"/>
          <w:bCs w:val="0"/>
          <w:i w:val="0"/>
          <w:iCs w:val="0"/>
          <w:caps w:val="0"/>
          <w:color w:val="3C3C3C"/>
          <w:spacing w:val="0"/>
          <w:sz w:val="31"/>
          <w:szCs w:val="31"/>
          <w:bdr w:val="none" w:color="auto" w:sz="0" w:space="0"/>
          <w:shd w:val="clear" w:fill="FFFFFF"/>
        </w:rPr>
        <w:t>级职称。本公司是经市人才办认定的战略性新兴产业领军企业，按照我市规定，本公司为其出具业绩证明函，用于替代申报职称需要的论文。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董事长（手签）：</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r>
        <w:rPr>
          <w:rFonts w:hint="eastAsia" w:ascii="宋体" w:hAnsi="宋体" w:eastAsia="宋体" w:cs="宋体"/>
          <w:b w:val="0"/>
          <w:bCs w:val="0"/>
          <w:i w:val="0"/>
          <w:iCs w:val="0"/>
          <w:caps w:val="0"/>
          <w:color w:val="3C3C3C"/>
          <w:spacing w:val="0"/>
          <w:sz w:val="31"/>
          <w:szCs w:val="31"/>
          <w:bdr w:val="none" w:color="auto" w:sz="0" w:space="0"/>
          <w:shd w:val="clear" w:fill="FFFFFF"/>
        </w:rPr>
        <w:t>（企业公章）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联系电话：</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r>
        <w:rPr>
          <w:rFonts w:hint="eastAsia" w:ascii="宋体" w:hAnsi="宋体" w:eastAsia="宋体" w:cs="宋体"/>
          <w:b w:val="0"/>
          <w:bCs w:val="0"/>
          <w:i w:val="0"/>
          <w:iCs w:val="0"/>
          <w:caps w:val="0"/>
          <w:color w:val="3C3C3C"/>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r>
        <w:rPr>
          <w:rFonts w:hint="eastAsia" w:ascii="宋体" w:hAnsi="宋体" w:eastAsia="宋体" w:cs="宋体"/>
          <w:b w:val="0"/>
          <w:bCs w:val="0"/>
          <w:i w:val="0"/>
          <w:iCs w:val="0"/>
          <w:caps w:val="0"/>
          <w:color w:val="3C3C3C"/>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3C3C3C"/>
          <w:spacing w:val="0"/>
          <w:sz w:val="31"/>
          <w:szCs w:val="31"/>
          <w:bdr w:val="none" w:color="auto" w:sz="0" w:space="0"/>
          <w:shd w:val="clear" w:fill="FFFFFF"/>
        </w:rPr>
        <w:t>    </w:t>
      </w:r>
      <w:r>
        <w:rPr>
          <w:rFonts w:hint="eastAsia" w:ascii="宋体" w:hAnsi="宋体" w:eastAsia="宋体" w:cs="宋体"/>
          <w:b w:val="0"/>
          <w:bCs w:val="0"/>
          <w:i w:val="0"/>
          <w:iCs w:val="0"/>
          <w:caps w:val="0"/>
          <w:color w:val="3C3C3C"/>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宋体" w:hAnsi="宋体" w:eastAsia="宋体" w:cs="宋体"/>
          <w:b w:val="0"/>
          <w:bCs w:val="0"/>
          <w:i w:val="0"/>
          <w:iCs w:val="0"/>
          <w:caps w:val="0"/>
          <w:color w:val="3C3C3C"/>
          <w:spacing w:val="0"/>
          <w:sz w:val="31"/>
          <w:szCs w:val="31"/>
          <w:bdr w:val="none" w:color="auto" w:sz="0" w:space="0"/>
          <w:shd w:val="clear" w:fill="FFFFFF"/>
        </w:rPr>
        <w:t>电子邮箱：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02A83"/>
    <w:rsid w:val="29E0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2021-05-12T01:51:00Z</dcterms:created>
  <dc:creator>ʚ Tt ɞ</dc:creator>
  <cp:lastModifiedBy>ʚ Tt ɞ</cp:lastModifiedBy>
  <dcterms:modified xsi:type="dcterms:W3CDTF">2021-05-12T01:52:35Z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815CC77699FB445198EABA280BE9606E</vt:lpwstr>
  </property>
</Properties>
</file>