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5A" w:rsidRPr="00345766" w:rsidRDefault="00345766" w:rsidP="00707D5A">
      <w:pPr>
        <w:jc w:val="center"/>
        <w:rPr>
          <w:rFonts w:ascii="方正小标宋简体" w:eastAsia="方正小标宋简体" w:hAnsi="黑体" w:hint="eastAsia"/>
          <w:sz w:val="36"/>
          <w:szCs w:val="36"/>
        </w:rPr>
      </w:pPr>
      <w:r w:rsidRPr="00345766">
        <w:rPr>
          <w:rFonts w:ascii="方正小标宋简体" w:eastAsia="方正小标宋简体" w:hAnsi="黑体" w:hint="eastAsia"/>
          <w:sz w:val="36"/>
          <w:szCs w:val="36"/>
        </w:rPr>
        <w:t>执法依据</w:t>
      </w:r>
    </w:p>
    <w:p w:rsidR="00345766" w:rsidRDefault="00345766" w:rsidP="00345766">
      <w:pPr>
        <w:spacing w:line="560" w:lineRule="exact"/>
        <w:jc w:val="left"/>
        <w:rPr>
          <w:rFonts w:ascii="黑体" w:eastAsia="黑体" w:hAnsi="黑体"/>
          <w:sz w:val="32"/>
          <w:szCs w:val="32"/>
        </w:rPr>
      </w:pPr>
    </w:p>
    <w:p w:rsidR="00345766" w:rsidRPr="000F495F" w:rsidRDefault="00345766" w:rsidP="00345766">
      <w:pPr>
        <w:spacing w:line="560" w:lineRule="exact"/>
        <w:jc w:val="center"/>
        <w:rPr>
          <w:rFonts w:ascii="黑体" w:eastAsia="黑体" w:hAnsi="黑体"/>
          <w:color w:val="000000" w:themeColor="text1"/>
          <w:sz w:val="36"/>
          <w:szCs w:val="36"/>
        </w:rPr>
      </w:pPr>
      <w:r w:rsidRPr="000F495F">
        <w:rPr>
          <w:rFonts w:ascii="黑体" w:eastAsia="黑体" w:hAnsi="黑体" w:hint="eastAsia"/>
          <w:color w:val="000000" w:themeColor="text1"/>
          <w:sz w:val="36"/>
          <w:szCs w:val="36"/>
        </w:rPr>
        <w:t>天津市城市管理相对集中行政处罚权规定</w:t>
      </w:r>
    </w:p>
    <w:p w:rsidR="00345766" w:rsidRDefault="00345766" w:rsidP="00345766">
      <w:pPr>
        <w:spacing w:line="560" w:lineRule="exact"/>
        <w:ind w:firstLineChars="200" w:firstLine="643"/>
        <w:rPr>
          <w:rStyle w:val="f-article-txt-fb"/>
          <w:rFonts w:ascii="仿宋" w:eastAsia="仿宋" w:hAnsi="仿宋"/>
          <w:b/>
          <w:bCs/>
          <w:color w:val="000000" w:themeColor="text1"/>
          <w:sz w:val="32"/>
          <w:szCs w:val="32"/>
        </w:rPr>
      </w:pP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第一条</w:t>
      </w:r>
      <w:r w:rsidRPr="00345766">
        <w:rPr>
          <w:rStyle w:val="apple-converted-space"/>
          <w:rFonts w:ascii="宋体" w:eastAsia="宋体" w:hAnsi="宋体" w:cs="宋体" w:hint="eastAsia"/>
          <w:color w:val="000000" w:themeColor="text1"/>
          <w:sz w:val="32"/>
          <w:szCs w:val="32"/>
        </w:rPr>
        <w:t> </w:t>
      </w:r>
      <w:r w:rsidRPr="00345766">
        <w:rPr>
          <w:rFonts w:ascii="仿宋" w:eastAsia="仿宋" w:hAnsi="仿宋" w:hint="eastAsia"/>
          <w:color w:val="000000" w:themeColor="text1"/>
          <w:sz w:val="32"/>
          <w:szCs w:val="32"/>
        </w:rPr>
        <w:t>为了加强城市管理， 维护城市秩序，提高</w:t>
      </w:r>
      <w:hyperlink r:id="rId6" w:tgtFrame="_blank" w:history="1">
        <w:r w:rsidRPr="00345766">
          <w:rPr>
            <w:rStyle w:val="a5"/>
            <w:rFonts w:ascii="仿宋" w:eastAsia="仿宋" w:hAnsi="仿宋" w:hint="eastAsia"/>
            <w:color w:val="000000" w:themeColor="text1"/>
            <w:sz w:val="32"/>
            <w:szCs w:val="32"/>
            <w:u w:val="none"/>
          </w:rPr>
          <w:t>行政执法</w:t>
        </w:r>
      </w:hyperlink>
      <w:r w:rsidRPr="00345766">
        <w:rPr>
          <w:rFonts w:ascii="仿宋" w:eastAsia="仿宋" w:hAnsi="仿宋" w:hint="eastAsia"/>
          <w:color w:val="000000" w:themeColor="text1"/>
          <w:sz w:val="32"/>
          <w:szCs w:val="32"/>
        </w:rPr>
        <w:t>效能，根据</w:t>
      </w:r>
      <w:hyperlink r:id="rId7" w:tgtFrame="_blank" w:history="1">
        <w:r w:rsidRPr="00345766">
          <w:rPr>
            <w:rStyle w:val="a5"/>
            <w:rFonts w:ascii="仿宋" w:eastAsia="仿宋" w:hAnsi="仿宋" w:hint="eastAsia"/>
            <w:color w:val="000000" w:themeColor="text1"/>
            <w:sz w:val="32"/>
            <w:szCs w:val="32"/>
            <w:u w:val="none"/>
          </w:rPr>
          <w:t>《中华人民共和国行政处罚法》</w:t>
        </w:r>
      </w:hyperlink>
      <w:r w:rsidRPr="00345766">
        <w:rPr>
          <w:rFonts w:ascii="仿宋" w:eastAsia="仿宋" w:hAnsi="仿宋" w:hint="eastAsia"/>
          <w:color w:val="000000" w:themeColor="text1"/>
          <w:sz w:val="32"/>
          <w:szCs w:val="32"/>
        </w:rPr>
        <w:t>等有关法律、法规的规定，结合本市实际情况，制定本规定。</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第二条</w:t>
      </w:r>
      <w:r w:rsidRPr="00345766">
        <w:rPr>
          <w:rFonts w:ascii="仿宋" w:eastAsia="仿宋" w:hAnsi="仿宋" w:hint="eastAsia"/>
          <w:color w:val="000000" w:themeColor="text1"/>
          <w:sz w:val="32"/>
          <w:szCs w:val="32"/>
        </w:rPr>
        <w:t xml:space="preserve">　本规定适用于本市行政区域内的城市管理相对集中行政处罚权工作。</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第三条</w:t>
      </w:r>
      <w:r w:rsidRPr="00345766">
        <w:rPr>
          <w:rFonts w:ascii="仿宋" w:eastAsia="仿宋" w:hAnsi="仿宋" w:hint="eastAsia"/>
          <w:color w:val="000000" w:themeColor="text1"/>
          <w:sz w:val="32"/>
          <w:szCs w:val="32"/>
        </w:rPr>
        <w:t xml:space="preserve">　市城市管理综合行政执法机关主管全市城市管理相对集中行政处罚权工作。</w:t>
      </w:r>
    </w:p>
    <w:p w:rsidR="00345766" w:rsidRPr="00345766" w:rsidRDefault="00345766" w:rsidP="00345766">
      <w:pPr>
        <w:spacing w:line="560" w:lineRule="exact"/>
        <w:ind w:firstLineChars="200" w:firstLine="64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市和区、县城市管理综合行政执法机关行使城市管理相对集中的法律、法规、规章规定的行政处罚权，依法独立履行规定的职责，并承担相应的法律责任。</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第四条</w:t>
      </w:r>
      <w:r w:rsidRPr="00345766">
        <w:rPr>
          <w:rFonts w:ascii="仿宋" w:eastAsia="仿宋" w:hAnsi="仿宋" w:hint="eastAsia"/>
          <w:color w:val="000000" w:themeColor="text1"/>
          <w:sz w:val="32"/>
          <w:szCs w:val="32"/>
        </w:rPr>
        <w:t xml:space="preserve">　城市管理综合行政执法机关集中行使下列行政处罚权：</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（一）市容环境卫生管理方面法律、法规、规章规定的全部行政处罚权，依法强制拆除不符合城市容貌标准、</w:t>
      </w:r>
      <w:hyperlink r:id="rId8" w:tgtFrame="_blank" w:history="1">
        <w:r w:rsidRPr="00345766">
          <w:rPr>
            <w:rStyle w:val="a5"/>
            <w:rFonts w:ascii="仿宋" w:eastAsia="仿宋" w:hAnsi="仿宋" w:hint="eastAsia"/>
            <w:color w:val="000000" w:themeColor="text1"/>
            <w:sz w:val="32"/>
            <w:szCs w:val="32"/>
            <w:u w:val="none"/>
          </w:rPr>
          <w:t>环境卫生标准</w:t>
        </w:r>
      </w:hyperlink>
      <w:r w:rsidRPr="00345766">
        <w:rPr>
          <w:rFonts w:ascii="仿宋" w:eastAsia="仿宋" w:hAnsi="仿宋" w:hint="eastAsia"/>
          <w:color w:val="000000" w:themeColor="text1"/>
          <w:sz w:val="32"/>
          <w:szCs w:val="32"/>
        </w:rPr>
        <w:t>的建筑物或者设施；</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（二）城市园林绿化管理方面法律、法规、规章规定的全部行政处罚权；</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（三）公安交通管理方面法律、法规、规章规定的对机动车、非机动车以外的违法占道行为的行政处罚权；</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（四）市政管理方面法律、法规、规章规定的违法占道行</w:t>
      </w:r>
      <w:r w:rsidRPr="00345766">
        <w:rPr>
          <w:rFonts w:ascii="仿宋" w:eastAsia="仿宋" w:hAnsi="仿宋" w:hint="eastAsia"/>
          <w:color w:val="000000" w:themeColor="text1"/>
          <w:sz w:val="32"/>
          <w:szCs w:val="32"/>
        </w:rPr>
        <w:lastRenderedPageBreak/>
        <w:t>为的行政处罚权；</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（五）城市规划管理方面法律、法规、规章规定的对未经规划部门许可的</w:t>
      </w:r>
      <w:hyperlink r:id="rId9" w:tgtFrame="_blank" w:history="1">
        <w:r w:rsidRPr="00345766">
          <w:rPr>
            <w:rStyle w:val="a5"/>
            <w:rFonts w:ascii="仿宋" w:eastAsia="仿宋" w:hAnsi="仿宋" w:hint="eastAsia"/>
            <w:color w:val="000000" w:themeColor="text1"/>
            <w:sz w:val="32"/>
            <w:szCs w:val="32"/>
            <w:u w:val="none"/>
          </w:rPr>
          <w:t>违法建设</w:t>
        </w:r>
      </w:hyperlink>
      <w:r w:rsidRPr="00345766">
        <w:rPr>
          <w:rFonts w:ascii="仿宋" w:eastAsia="仿宋" w:hAnsi="仿宋" w:hint="eastAsia"/>
          <w:color w:val="000000" w:themeColor="text1"/>
          <w:sz w:val="32"/>
          <w:szCs w:val="32"/>
        </w:rPr>
        <w:t>行为的行政处罚权；</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（六）</w:t>
      </w:r>
      <w:hyperlink r:id="rId10" w:tgtFrame="_blank" w:history="1">
        <w:r w:rsidRPr="00345766">
          <w:rPr>
            <w:rStyle w:val="a5"/>
            <w:rFonts w:ascii="仿宋" w:eastAsia="仿宋" w:hAnsi="仿宋" w:hint="eastAsia"/>
            <w:color w:val="000000" w:themeColor="text1"/>
            <w:sz w:val="32"/>
            <w:szCs w:val="32"/>
            <w:u w:val="none"/>
          </w:rPr>
          <w:t>工商行政管理</w:t>
        </w:r>
      </w:hyperlink>
      <w:r w:rsidRPr="00345766">
        <w:rPr>
          <w:rFonts w:ascii="仿宋" w:eastAsia="仿宋" w:hAnsi="仿宋" w:hint="eastAsia"/>
          <w:color w:val="000000" w:themeColor="text1"/>
          <w:sz w:val="32"/>
          <w:szCs w:val="32"/>
        </w:rPr>
        <w:t>方面法律、法规、规章规定的对占用道路</w:t>
      </w:r>
      <w:hyperlink r:id="rId11" w:tgtFrame="_blank" w:history="1">
        <w:r w:rsidRPr="00345766">
          <w:rPr>
            <w:rStyle w:val="a5"/>
            <w:rFonts w:ascii="仿宋" w:eastAsia="仿宋" w:hAnsi="仿宋" w:hint="eastAsia"/>
            <w:color w:val="000000" w:themeColor="text1"/>
            <w:sz w:val="32"/>
            <w:szCs w:val="32"/>
            <w:u w:val="none"/>
          </w:rPr>
          <w:t>无照经营</w:t>
        </w:r>
      </w:hyperlink>
      <w:r w:rsidRPr="00345766">
        <w:rPr>
          <w:rFonts w:ascii="仿宋" w:eastAsia="仿宋" w:hAnsi="仿宋" w:hint="eastAsia"/>
          <w:color w:val="000000" w:themeColor="text1"/>
          <w:sz w:val="32"/>
          <w:szCs w:val="32"/>
        </w:rPr>
        <w:t>行为或未在指定地点经营并影响市容的违法行为的行政处罚权；</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（七）法律、法规、规章规定或市人民政府决定调整的城市管理方面的其他行政处罚权。</w:t>
      </w:r>
    </w:p>
    <w:p w:rsidR="00345766" w:rsidRPr="00345766" w:rsidRDefault="00345766" w:rsidP="00345766">
      <w:pPr>
        <w:spacing w:line="560" w:lineRule="exact"/>
        <w:ind w:firstLineChars="200" w:firstLine="64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城市管理行政处罚权相对集中后，有关行政主管部门不得再行使前款规定的行政处罚权；继续行使的，作出的行政处罚决定无效，并承担相应的法律责任。</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第五条</w:t>
      </w:r>
      <w:r w:rsidRPr="00345766">
        <w:rPr>
          <w:rStyle w:val="apple-converted-space"/>
          <w:rFonts w:ascii="宋体" w:eastAsia="宋体" w:hAnsi="宋体" w:cs="宋体" w:hint="eastAsia"/>
          <w:color w:val="000000" w:themeColor="text1"/>
          <w:sz w:val="32"/>
          <w:szCs w:val="32"/>
        </w:rPr>
        <w:t> </w:t>
      </w:r>
      <w:r w:rsidRPr="00345766">
        <w:rPr>
          <w:rFonts w:ascii="仿宋" w:eastAsia="仿宋" w:hAnsi="仿宋" w:hint="eastAsia"/>
          <w:color w:val="000000" w:themeColor="text1"/>
          <w:sz w:val="32"/>
          <w:szCs w:val="32"/>
        </w:rPr>
        <w:t>市城市管理综合行政执法机关对区、 县城市管理综合行政执法机关进行工作指导、监督和协调，统一组织全市性专项执法活动。</w:t>
      </w:r>
    </w:p>
    <w:p w:rsidR="00345766" w:rsidRPr="00345766" w:rsidRDefault="00345766" w:rsidP="00345766">
      <w:pPr>
        <w:spacing w:line="560" w:lineRule="exact"/>
        <w:ind w:firstLineChars="200" w:firstLine="64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应当由区、县城市管理综合行政执法机关查处而未予查处的违法行为，市城市管理综合行政执法机关可以责令其查处，也可以直接查处。下列案件由市城市管理综合行政执法机关直接查处：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（一）跨区、县的案件；</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（二）重大疑难或有影响的案件；</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（三）机场、港口等重点地区发生的案件；</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（四）市人民政府指定查处的案件。</w:t>
      </w:r>
    </w:p>
    <w:p w:rsidR="00345766" w:rsidRPr="00345766" w:rsidRDefault="00345766" w:rsidP="00345766">
      <w:pPr>
        <w:spacing w:line="560" w:lineRule="exact"/>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区、县城市管理综合行政执法机关负责本辖区内的违反城市管理法律、法规、规章行为的查处工作。</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lastRenderedPageBreak/>
        <w:t>第六条</w:t>
      </w:r>
      <w:r w:rsidRPr="00345766">
        <w:rPr>
          <w:rFonts w:ascii="仿宋" w:eastAsia="仿宋" w:hAnsi="仿宋" w:hint="eastAsia"/>
          <w:color w:val="000000" w:themeColor="text1"/>
          <w:sz w:val="32"/>
          <w:szCs w:val="32"/>
        </w:rPr>
        <w:t xml:space="preserve">　城市管理综合行政执法机关及其执法人员应当严格按照本规定行使行政处罚权，认真履行职责，</w:t>
      </w:r>
      <w:hyperlink r:id="rId12" w:tgtFrame="_blank" w:history="1">
        <w:r w:rsidRPr="00345766">
          <w:rPr>
            <w:rStyle w:val="a5"/>
            <w:rFonts w:ascii="仿宋" w:eastAsia="仿宋" w:hAnsi="仿宋" w:hint="eastAsia"/>
            <w:color w:val="000000" w:themeColor="text1"/>
            <w:sz w:val="32"/>
            <w:szCs w:val="32"/>
            <w:u w:val="none"/>
          </w:rPr>
          <w:t>严格执法</w:t>
        </w:r>
      </w:hyperlink>
      <w:r w:rsidRPr="00345766">
        <w:rPr>
          <w:rFonts w:ascii="仿宋" w:eastAsia="仿宋" w:hAnsi="仿宋" w:hint="eastAsia"/>
          <w:color w:val="000000" w:themeColor="text1"/>
          <w:sz w:val="32"/>
          <w:szCs w:val="32"/>
        </w:rPr>
        <w:t>，公正执法，</w:t>
      </w:r>
      <w:hyperlink r:id="rId13" w:tgtFrame="_blank" w:history="1">
        <w:r w:rsidRPr="00345766">
          <w:rPr>
            <w:rStyle w:val="a5"/>
            <w:rFonts w:ascii="仿宋" w:eastAsia="仿宋" w:hAnsi="仿宋" w:hint="eastAsia"/>
            <w:color w:val="000000" w:themeColor="text1"/>
            <w:sz w:val="32"/>
            <w:szCs w:val="32"/>
            <w:u w:val="none"/>
          </w:rPr>
          <w:t>文明执法</w:t>
        </w:r>
      </w:hyperlink>
      <w:r w:rsidRPr="00345766">
        <w:rPr>
          <w:rFonts w:ascii="仿宋" w:eastAsia="仿宋" w:hAnsi="仿宋" w:hint="eastAsia"/>
          <w:color w:val="000000" w:themeColor="text1"/>
          <w:sz w:val="32"/>
          <w:szCs w:val="32"/>
        </w:rPr>
        <w:t>，恪守职业道德，自觉接受监督。</w:t>
      </w:r>
    </w:p>
    <w:p w:rsidR="00345766" w:rsidRPr="00345766" w:rsidRDefault="00345766" w:rsidP="00345766">
      <w:pPr>
        <w:spacing w:line="560" w:lineRule="exact"/>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城市管理综合行政执法机关实施行政处罚，纠正违法行为，应当坚持处罚与教育相结合、以教育为主的原则。对违法行为人应当先进行教育，并责令立即改正或者限期改正；违法行为人不予改正的，依法给予行政处罚。</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第七条</w:t>
      </w:r>
      <w:r w:rsidRPr="00345766">
        <w:rPr>
          <w:rStyle w:val="apple-converted-space"/>
          <w:rFonts w:ascii="宋体" w:eastAsia="宋体" w:hAnsi="宋体" w:cs="宋体" w:hint="eastAsia"/>
          <w:color w:val="000000" w:themeColor="text1"/>
          <w:sz w:val="32"/>
          <w:szCs w:val="32"/>
        </w:rPr>
        <w:t> </w:t>
      </w:r>
      <w:r w:rsidRPr="00345766">
        <w:rPr>
          <w:rFonts w:ascii="仿宋" w:eastAsia="仿宋" w:hAnsi="仿宋" w:hint="eastAsia"/>
          <w:color w:val="000000" w:themeColor="text1"/>
          <w:sz w:val="32"/>
          <w:szCs w:val="32"/>
        </w:rPr>
        <w:t>城市管理综合行政执法机关在调查或者进行检查时，执法人员不得少于两人，应当主动向当事人或者有关人员出示行政执法证件，并制作调查或者</w:t>
      </w:r>
      <w:hyperlink r:id="rId14" w:tgtFrame="_blank" w:history="1">
        <w:r w:rsidRPr="00345766">
          <w:rPr>
            <w:rStyle w:val="a5"/>
            <w:rFonts w:ascii="仿宋" w:eastAsia="仿宋" w:hAnsi="仿宋" w:hint="eastAsia"/>
            <w:color w:val="000000" w:themeColor="text1"/>
            <w:sz w:val="32"/>
            <w:szCs w:val="32"/>
            <w:u w:val="none"/>
          </w:rPr>
          <w:t>现场检查笔录</w:t>
        </w:r>
      </w:hyperlink>
      <w:r w:rsidRPr="00345766">
        <w:rPr>
          <w:rFonts w:ascii="仿宋" w:eastAsia="仿宋" w:hAnsi="仿宋" w:hint="eastAsia"/>
          <w:color w:val="000000" w:themeColor="text1"/>
          <w:sz w:val="32"/>
          <w:szCs w:val="32"/>
        </w:rPr>
        <w:t>，当事人或者有关人员应当如实回答询问，协助调查或者检查，不得阻挠；执法人员依法到有关单位调查取证时，有权查阅、调阅或者复制与行政处罚相关的资料，有关单位应当给予配合，不得妨碍或拒绝。</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第八条</w:t>
      </w:r>
      <w:r w:rsidRPr="00345766">
        <w:rPr>
          <w:rStyle w:val="apple-converted-space"/>
          <w:rFonts w:ascii="宋体" w:eastAsia="宋体" w:hAnsi="宋体" w:cs="宋体" w:hint="eastAsia"/>
          <w:color w:val="000000" w:themeColor="text1"/>
          <w:sz w:val="32"/>
          <w:szCs w:val="32"/>
        </w:rPr>
        <w:t> </w:t>
      </w:r>
      <w:r w:rsidRPr="00345766">
        <w:rPr>
          <w:rFonts w:ascii="仿宋" w:eastAsia="仿宋" w:hAnsi="仿宋" w:hint="eastAsia"/>
          <w:color w:val="000000" w:themeColor="text1"/>
          <w:sz w:val="32"/>
          <w:szCs w:val="32"/>
        </w:rPr>
        <w:t>城市管理综合行政执法机关收集证据时， 在证据可能灭失或者以后难以取得的情况下，经城市管理综合行政执法机关负责人批准，可以先行登记保存，当场开具登记清单，并应当在7日内及时作出处理决定。</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第九条</w:t>
      </w:r>
      <w:r w:rsidRPr="00345766">
        <w:rPr>
          <w:rFonts w:ascii="仿宋" w:eastAsia="仿宋" w:hAnsi="仿宋" w:hint="eastAsia"/>
          <w:color w:val="000000" w:themeColor="text1"/>
          <w:sz w:val="32"/>
          <w:szCs w:val="32"/>
        </w:rPr>
        <w:t xml:space="preserve">　城市管理综合行政执法机关依法暂扣违法行为涉及的工具、物品，应当当场开具市城市管理综合行政执法机关统一制发的暂扣工具或物品清单，自开具暂扣工具或物品清单之日起7日内作出处理决定。</w:t>
      </w:r>
    </w:p>
    <w:p w:rsidR="00345766" w:rsidRPr="00345766" w:rsidRDefault="00345766" w:rsidP="00345766">
      <w:pPr>
        <w:spacing w:line="560" w:lineRule="exact"/>
        <w:ind w:firstLineChars="200" w:firstLine="64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依法决定暂扣的工具或物品，应当告知当事人接受处理的时间、地点。对当事人接受处理的，应当将暂扣的工具、</w:t>
      </w:r>
      <w:r w:rsidRPr="00345766">
        <w:rPr>
          <w:rFonts w:ascii="仿宋" w:eastAsia="仿宋" w:hAnsi="仿宋" w:hint="eastAsia"/>
          <w:color w:val="000000" w:themeColor="text1"/>
          <w:sz w:val="32"/>
          <w:szCs w:val="32"/>
        </w:rPr>
        <w:lastRenderedPageBreak/>
        <w:t>物品全部退还当事人； 当事人逾期不接受处理，并且经公告3个月仍不接受处理的，由城市管理综合行政执法机关委托有资质的拍卖机构拍卖。对于易腐烂、易变质、不易保存，或者无法拍卖的工具、物品， 城市管理综合行政执法机关应当通知当事人2日内到指定地点接受处理；逾期不接受处理的，经城市管理综合行政执法机关负责人批准，可以先行予以变卖。</w:t>
      </w:r>
    </w:p>
    <w:p w:rsidR="00345766" w:rsidRPr="00345766" w:rsidRDefault="00345766" w:rsidP="00345766">
      <w:pPr>
        <w:spacing w:line="560" w:lineRule="exact"/>
        <w:ind w:firstLineChars="200" w:firstLine="64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拍卖、变卖所得价款折抵罚款，剩余部分退还当事人，无法退还的上缴国库。对无法变卖的物品，由城市管理综合行政执法机关自行销毁，做好销毁记录，每半年向同级财政部门备案。</w:t>
      </w:r>
    </w:p>
    <w:p w:rsidR="00345766" w:rsidRPr="00345766" w:rsidRDefault="00345766" w:rsidP="00345766">
      <w:pPr>
        <w:spacing w:line="560" w:lineRule="exact"/>
        <w:ind w:firstLineChars="200" w:firstLine="64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城市管理综合行政执法机关对依法暂扣违法行为涉及的工具、物品，应当妥善保管，不得使用、损坏、丢失。</w:t>
      </w:r>
    </w:p>
    <w:p w:rsidR="00345766" w:rsidRPr="00345766" w:rsidRDefault="00345766" w:rsidP="00345766">
      <w:pPr>
        <w:spacing w:line="560" w:lineRule="exact"/>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法律、法规对暂扣工具、物品另有规定的，从其规定。</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第十条</w:t>
      </w:r>
      <w:r w:rsidRPr="00345766">
        <w:rPr>
          <w:rStyle w:val="apple-converted-space"/>
          <w:rFonts w:ascii="宋体" w:eastAsia="宋体" w:hAnsi="宋体" w:cs="宋体" w:hint="eastAsia"/>
          <w:color w:val="000000" w:themeColor="text1"/>
          <w:sz w:val="32"/>
          <w:szCs w:val="32"/>
        </w:rPr>
        <w:t> </w:t>
      </w:r>
      <w:r w:rsidRPr="00345766">
        <w:rPr>
          <w:rFonts w:ascii="仿宋" w:eastAsia="仿宋" w:hAnsi="仿宋" w:hint="eastAsia"/>
          <w:color w:val="000000" w:themeColor="text1"/>
          <w:sz w:val="32"/>
          <w:szCs w:val="32"/>
        </w:rPr>
        <w:t>城市管理综合行政执法机关处理 《中华人民共和国行政处罚法》规定的一般程序的案件，应当在立案之日起15个工作日内作出行政处罚决定；案情重大、复杂的，经城市管理行政执法机关负责人批准，可以延长15个工作日。</w:t>
      </w:r>
    </w:p>
    <w:p w:rsidR="00345766" w:rsidRPr="00345766" w:rsidRDefault="00345766" w:rsidP="00345766">
      <w:pPr>
        <w:spacing w:line="560" w:lineRule="exact"/>
        <w:ind w:firstLineChars="200" w:firstLine="64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法律、法规另有规定的，从其规定。</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第十一条</w:t>
      </w:r>
      <w:r w:rsidRPr="00345766">
        <w:rPr>
          <w:rStyle w:val="apple-converted-space"/>
          <w:rFonts w:ascii="宋体" w:eastAsia="宋体" w:hAnsi="宋体" w:cs="宋体" w:hint="eastAsia"/>
          <w:color w:val="000000" w:themeColor="text1"/>
          <w:sz w:val="32"/>
          <w:szCs w:val="32"/>
        </w:rPr>
        <w:t> </w:t>
      </w:r>
      <w:r w:rsidRPr="00345766">
        <w:rPr>
          <w:rFonts w:ascii="仿宋" w:eastAsia="仿宋" w:hAnsi="仿宋" w:hint="eastAsia"/>
          <w:color w:val="000000" w:themeColor="text1"/>
          <w:sz w:val="32"/>
          <w:szCs w:val="32"/>
        </w:rPr>
        <w:t>城市管理综合行政执法机关实施行政处罚时， 应当责令当事人立即改正或者限期改正违法行为。对于违法行为造成的损害能够恢复原状的，应当责令其恢复原状。对于违法建设，应当依法责令其拆除，不得以行政处罚代替</w:t>
      </w:r>
      <w:r w:rsidRPr="00345766">
        <w:rPr>
          <w:rFonts w:ascii="仿宋" w:eastAsia="仿宋" w:hAnsi="仿宋" w:hint="eastAsia"/>
          <w:color w:val="000000" w:themeColor="text1"/>
          <w:sz w:val="32"/>
          <w:szCs w:val="32"/>
        </w:rPr>
        <w:lastRenderedPageBreak/>
        <w:t>行政许可保留违法建设。当事人拒绝恢复原状或者拆除的，城市管理行政执法机关应当依法采取强制措施，或者申请人民法院执行。</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第十二条</w:t>
      </w:r>
      <w:r w:rsidRPr="00345766">
        <w:rPr>
          <w:rStyle w:val="apple-converted-space"/>
          <w:rFonts w:ascii="宋体" w:eastAsia="宋体" w:hAnsi="宋体" w:cs="宋体" w:hint="eastAsia"/>
          <w:color w:val="000000" w:themeColor="text1"/>
          <w:sz w:val="32"/>
          <w:szCs w:val="32"/>
        </w:rPr>
        <w:t> </w:t>
      </w:r>
      <w:r w:rsidRPr="00345766">
        <w:rPr>
          <w:rFonts w:ascii="仿宋" w:eastAsia="仿宋" w:hAnsi="仿宋" w:hint="eastAsia"/>
          <w:color w:val="000000" w:themeColor="text1"/>
          <w:sz w:val="32"/>
          <w:szCs w:val="32"/>
        </w:rPr>
        <w:t>市容、 环境卫生、园林、公安交通管理、市政、规划、工商等有关行政主管部门，应当依法做好日常监督管理工作，加强与城市管理综合行政执法机关的工作配合，实现行政许可、</w:t>
      </w:r>
      <w:hyperlink r:id="rId15" w:tgtFrame="_blank" w:history="1">
        <w:r w:rsidRPr="00345766">
          <w:rPr>
            <w:rStyle w:val="a5"/>
            <w:rFonts w:ascii="仿宋" w:eastAsia="仿宋" w:hAnsi="仿宋" w:hint="eastAsia"/>
            <w:color w:val="000000" w:themeColor="text1"/>
            <w:sz w:val="32"/>
            <w:szCs w:val="32"/>
            <w:u w:val="none"/>
          </w:rPr>
          <w:t>行政收费</w:t>
        </w:r>
      </w:hyperlink>
      <w:r w:rsidRPr="00345766">
        <w:rPr>
          <w:rFonts w:ascii="仿宋" w:eastAsia="仿宋" w:hAnsi="仿宋" w:hint="eastAsia"/>
          <w:color w:val="000000" w:themeColor="text1"/>
          <w:sz w:val="32"/>
          <w:szCs w:val="32"/>
        </w:rPr>
        <w:t>等行政管理信息资源的共享；对于发现应当由城市管理综合行政执法机关处理的违法行为，应当将案件有关材料在3日内移送城市管理综合行政执法机关处理。 城市管理综合行政执法机关应当在依法作出处理决定的3日内将处理决定告知有关 行政主管部门。</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第十三条</w:t>
      </w:r>
      <w:r w:rsidRPr="00345766">
        <w:rPr>
          <w:rFonts w:ascii="仿宋" w:eastAsia="仿宋" w:hAnsi="仿宋" w:hint="eastAsia"/>
          <w:color w:val="000000" w:themeColor="text1"/>
          <w:sz w:val="32"/>
          <w:szCs w:val="32"/>
        </w:rPr>
        <w:t xml:space="preserve">　城市管理综合行政执法机关在查处违法行为时，发现有关行政主管部门违法审批、许可，或者发现不履行法定职责等问题，可以向有关主管部门提出书面建议，或提请同级人民政府予以纠正。</w:t>
      </w:r>
    </w:p>
    <w:p w:rsidR="00345766" w:rsidRPr="00345766" w:rsidRDefault="00345766" w:rsidP="00345766">
      <w:pPr>
        <w:spacing w:line="560" w:lineRule="exact"/>
        <w:ind w:firstLineChars="200" w:firstLine="64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有关行政主管部门发现城市管理综合行政执法机关有违法执法、超越职权或者不履行法定职责等问题，可以向城市管理综合行政执法机关提出书面建议，或提请同级人民政府予以纠正。</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第十四条</w:t>
      </w:r>
      <w:r w:rsidRPr="00345766">
        <w:rPr>
          <w:rFonts w:ascii="仿宋" w:eastAsia="仿宋" w:hAnsi="仿宋" w:hint="eastAsia"/>
          <w:color w:val="000000" w:themeColor="text1"/>
          <w:sz w:val="32"/>
          <w:szCs w:val="32"/>
        </w:rPr>
        <w:t xml:space="preserve">　城市管理综合行政执法机关发现违法行为涉及赔偿、 补偿、行政事业收费或者补办相关手续事宜的，应当在3日内及时通知相关行政主管部门。 有关部门依法处理后，应当在3日内将处理结果通知城市管理综合行政执法机关。城市管理综合行政执法机关接到有关部门处理结果</w:t>
      </w:r>
      <w:r w:rsidRPr="00345766">
        <w:rPr>
          <w:rFonts w:ascii="仿宋" w:eastAsia="仿宋" w:hAnsi="仿宋" w:hint="eastAsia"/>
          <w:color w:val="000000" w:themeColor="text1"/>
          <w:sz w:val="32"/>
          <w:szCs w:val="32"/>
        </w:rPr>
        <w:lastRenderedPageBreak/>
        <w:t>通知后，依法作出处理。</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第十五条</w:t>
      </w:r>
      <w:r w:rsidRPr="00345766">
        <w:rPr>
          <w:rFonts w:ascii="仿宋" w:eastAsia="仿宋" w:hAnsi="仿宋" w:hint="eastAsia"/>
          <w:color w:val="000000" w:themeColor="text1"/>
          <w:sz w:val="32"/>
          <w:szCs w:val="32"/>
        </w:rPr>
        <w:t xml:space="preserve">　城市管理综合行政执法机关及其执法人员实施行政处罚，有下列情形之一的，依照有关法律、法规、规章的规定追究法律责任；给公民人身或者财产、公共利益、社会秩序造成损害，给法人或其他组织造成损失的，应当依法予以赔偿：</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（一）主要事实不清，证据不足的；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（二）没有法定行政处罚依据，或者适用法律、法规、规章错误的；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（三）违反法定程序的；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（四）超越或者滥用法定职权的；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（五）实施行政处罚显失公正的；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（六）违法实施强制措施的；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（七）不履行法定职责的；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（八）其他违法行为的。</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第十六条</w:t>
      </w:r>
      <w:r w:rsidRPr="00345766">
        <w:rPr>
          <w:rStyle w:val="apple-converted-space"/>
          <w:rFonts w:ascii="宋体" w:eastAsia="宋体" w:hAnsi="宋体" w:cs="宋体" w:hint="eastAsia"/>
          <w:color w:val="000000" w:themeColor="text1"/>
          <w:sz w:val="32"/>
          <w:szCs w:val="32"/>
        </w:rPr>
        <w:t> </w:t>
      </w:r>
      <w:r w:rsidRPr="00345766">
        <w:rPr>
          <w:rFonts w:ascii="仿宋" w:eastAsia="仿宋" w:hAnsi="仿宋" w:hint="eastAsia"/>
          <w:color w:val="000000" w:themeColor="text1"/>
          <w:sz w:val="32"/>
          <w:szCs w:val="32"/>
        </w:rPr>
        <w:t>有关行政主管部门及其执法人员违反本规定， 有下列情形之一的，依照有关法律、法规、规章的规定追究法律责任：</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（一）继续行使已经集中的行政处罚权的；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（二）应当移送城市管理综合行政执法机关处理的案件不移送的；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（三）拒绝或者拖延提供与行政处罚有关的证明或者信息的；</w:t>
      </w:r>
    </w:p>
    <w:p w:rsidR="00345766" w:rsidRPr="00345766" w:rsidRDefault="00345766" w:rsidP="00345766">
      <w:pPr>
        <w:spacing w:line="560" w:lineRule="exact"/>
        <w:ind w:firstLineChars="150" w:firstLine="480"/>
        <w:rPr>
          <w:rFonts w:ascii="仿宋" w:eastAsia="仿宋" w:hAnsi="仿宋"/>
          <w:color w:val="000000" w:themeColor="text1"/>
          <w:sz w:val="32"/>
          <w:szCs w:val="32"/>
        </w:rPr>
      </w:pPr>
      <w:r w:rsidRPr="00345766">
        <w:rPr>
          <w:rFonts w:ascii="仿宋" w:eastAsia="仿宋" w:hAnsi="仿宋" w:hint="eastAsia"/>
          <w:color w:val="000000" w:themeColor="text1"/>
          <w:sz w:val="32"/>
          <w:szCs w:val="32"/>
        </w:rPr>
        <w:t>（四）阻碍或者干扰城市管理综合行政执法机关调查、取</w:t>
      </w:r>
      <w:r w:rsidRPr="00345766">
        <w:rPr>
          <w:rFonts w:ascii="仿宋" w:eastAsia="仿宋" w:hAnsi="仿宋" w:hint="eastAsia"/>
          <w:color w:val="000000" w:themeColor="text1"/>
          <w:sz w:val="32"/>
          <w:szCs w:val="32"/>
        </w:rPr>
        <w:lastRenderedPageBreak/>
        <w:t>证、实施行政处罚的。</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第十七条</w:t>
      </w:r>
      <w:r w:rsidRPr="00345766">
        <w:rPr>
          <w:rFonts w:ascii="仿宋" w:eastAsia="仿宋" w:hAnsi="仿宋" w:hint="eastAsia"/>
          <w:color w:val="000000" w:themeColor="text1"/>
          <w:sz w:val="32"/>
          <w:szCs w:val="32"/>
        </w:rPr>
        <w:t xml:space="preserve">　公安部门在城市管理综合行政执法机关设立的公安派出机构，负责协调在城市管理行政执法活动中发生的公然侮辱执法人员、阻碍执行公务、</w:t>
      </w:r>
      <w:hyperlink r:id="rId16" w:tgtFrame="_blank" w:history="1">
        <w:r w:rsidRPr="00345766">
          <w:rPr>
            <w:rStyle w:val="a5"/>
            <w:rFonts w:ascii="仿宋" w:eastAsia="仿宋" w:hAnsi="仿宋" w:hint="eastAsia"/>
            <w:color w:val="000000" w:themeColor="text1"/>
            <w:sz w:val="32"/>
            <w:szCs w:val="32"/>
            <w:u w:val="none"/>
          </w:rPr>
          <w:t>暴力抗法</w:t>
        </w:r>
      </w:hyperlink>
      <w:r w:rsidRPr="00345766">
        <w:rPr>
          <w:rFonts w:ascii="仿宋" w:eastAsia="仿宋" w:hAnsi="仿宋" w:hint="eastAsia"/>
          <w:color w:val="000000" w:themeColor="text1"/>
          <w:sz w:val="32"/>
          <w:szCs w:val="32"/>
        </w:rPr>
        <w:t>等违法行为的依法处理，履行执法保障职责。</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第十八条</w:t>
      </w:r>
      <w:r w:rsidRPr="00345766">
        <w:rPr>
          <w:rStyle w:val="apple-converted-space"/>
          <w:rFonts w:ascii="宋体" w:eastAsia="宋体" w:hAnsi="宋体" w:cs="宋体" w:hint="eastAsia"/>
          <w:color w:val="000000" w:themeColor="text1"/>
          <w:sz w:val="32"/>
          <w:szCs w:val="32"/>
        </w:rPr>
        <w:t> </w:t>
      </w:r>
      <w:hyperlink r:id="rId17" w:tgtFrame="_blank" w:history="1">
        <w:r w:rsidRPr="00345766">
          <w:rPr>
            <w:rStyle w:val="a5"/>
            <w:rFonts w:ascii="仿宋" w:eastAsia="仿宋" w:hAnsi="仿宋" w:hint="eastAsia"/>
            <w:color w:val="000000" w:themeColor="text1"/>
            <w:sz w:val="32"/>
            <w:szCs w:val="32"/>
            <w:u w:val="none"/>
          </w:rPr>
          <w:t>天津经济技术开发区</w:t>
        </w:r>
      </w:hyperlink>
      <w:r w:rsidRPr="00345766">
        <w:rPr>
          <w:rFonts w:ascii="仿宋" w:eastAsia="仿宋" w:hAnsi="仿宋" w:hint="eastAsia"/>
          <w:color w:val="000000" w:themeColor="text1"/>
          <w:sz w:val="32"/>
          <w:szCs w:val="32"/>
        </w:rPr>
        <w:t>、</w:t>
      </w:r>
      <w:r w:rsidRPr="00345766">
        <w:rPr>
          <w:rStyle w:val="apple-converted-space"/>
          <w:rFonts w:ascii="宋体" w:eastAsia="宋体" w:hAnsi="宋体" w:cs="宋体" w:hint="eastAsia"/>
          <w:color w:val="000000" w:themeColor="text1"/>
          <w:sz w:val="32"/>
          <w:szCs w:val="32"/>
        </w:rPr>
        <w:t> </w:t>
      </w:r>
      <w:hyperlink r:id="rId18" w:tgtFrame="_blank" w:history="1">
        <w:r w:rsidRPr="00345766">
          <w:rPr>
            <w:rStyle w:val="a5"/>
            <w:rFonts w:ascii="仿宋" w:eastAsia="仿宋" w:hAnsi="仿宋" w:hint="eastAsia"/>
            <w:color w:val="000000" w:themeColor="text1"/>
            <w:sz w:val="32"/>
            <w:szCs w:val="32"/>
            <w:u w:val="none"/>
          </w:rPr>
          <w:t>天津港保税区</w:t>
        </w:r>
      </w:hyperlink>
      <w:r w:rsidRPr="00345766">
        <w:rPr>
          <w:rFonts w:ascii="仿宋" w:eastAsia="仿宋" w:hAnsi="仿宋" w:hint="eastAsia"/>
          <w:color w:val="000000" w:themeColor="text1"/>
          <w:sz w:val="32"/>
          <w:szCs w:val="32"/>
        </w:rPr>
        <w:t>、</w:t>
      </w:r>
      <w:hyperlink r:id="rId19" w:tgtFrame="_blank" w:history="1">
        <w:r w:rsidRPr="00345766">
          <w:rPr>
            <w:rStyle w:val="a5"/>
            <w:rFonts w:ascii="仿宋" w:eastAsia="仿宋" w:hAnsi="仿宋" w:hint="eastAsia"/>
            <w:color w:val="000000" w:themeColor="text1"/>
            <w:sz w:val="32"/>
            <w:szCs w:val="32"/>
            <w:u w:val="none"/>
          </w:rPr>
          <w:t>天津新技术产业园区</w:t>
        </w:r>
      </w:hyperlink>
      <w:r w:rsidRPr="00345766">
        <w:rPr>
          <w:rFonts w:ascii="仿宋" w:eastAsia="仿宋" w:hAnsi="仿宋" w:hint="eastAsia"/>
          <w:color w:val="000000" w:themeColor="text1"/>
          <w:sz w:val="32"/>
          <w:szCs w:val="32"/>
        </w:rPr>
        <w:t>等功能经济区内的城市管理集中行政处罚权工作可参照本规定施行。</w:t>
      </w:r>
    </w:p>
    <w:p w:rsidR="00345766" w:rsidRP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第十九条</w:t>
      </w:r>
      <w:r w:rsidRPr="00345766">
        <w:rPr>
          <w:rFonts w:ascii="仿宋" w:eastAsia="仿宋" w:hAnsi="仿宋" w:hint="eastAsia"/>
          <w:color w:val="000000" w:themeColor="text1"/>
          <w:sz w:val="32"/>
          <w:szCs w:val="32"/>
        </w:rPr>
        <w:t xml:space="preserve">　本规定施行前有关城市管理集中行政处罚权的规定与本规定不一致的，以本规定为准。</w:t>
      </w:r>
    </w:p>
    <w:p w:rsidR="00345766" w:rsidRDefault="00345766" w:rsidP="00345766">
      <w:pPr>
        <w:spacing w:line="560" w:lineRule="exact"/>
        <w:ind w:firstLineChars="200" w:firstLine="643"/>
        <w:rPr>
          <w:rFonts w:ascii="仿宋" w:eastAsia="仿宋" w:hAnsi="仿宋"/>
          <w:color w:val="000000" w:themeColor="text1"/>
          <w:sz w:val="32"/>
          <w:szCs w:val="32"/>
        </w:rPr>
      </w:pPr>
      <w:r w:rsidRPr="00345766">
        <w:rPr>
          <w:rStyle w:val="f-article-txt-fb"/>
          <w:rFonts w:ascii="仿宋" w:eastAsia="仿宋" w:hAnsi="仿宋" w:hint="eastAsia"/>
          <w:b/>
          <w:bCs/>
          <w:color w:val="000000" w:themeColor="text1"/>
          <w:sz w:val="32"/>
          <w:szCs w:val="32"/>
        </w:rPr>
        <w:t>第二十条</w:t>
      </w:r>
      <w:r w:rsidRPr="00345766">
        <w:rPr>
          <w:rStyle w:val="apple-converted-space"/>
          <w:rFonts w:ascii="宋体" w:eastAsia="宋体" w:hAnsi="宋体" w:cs="宋体" w:hint="eastAsia"/>
          <w:color w:val="000000" w:themeColor="text1"/>
          <w:sz w:val="32"/>
          <w:szCs w:val="32"/>
        </w:rPr>
        <w:t> </w:t>
      </w:r>
      <w:r w:rsidRPr="00345766">
        <w:rPr>
          <w:rFonts w:ascii="仿宋" w:eastAsia="仿宋" w:hAnsi="仿宋" w:hint="eastAsia"/>
          <w:color w:val="000000" w:themeColor="text1"/>
          <w:sz w:val="32"/>
          <w:szCs w:val="32"/>
        </w:rPr>
        <w:t>本规定自2007年3月1日起施行。</w:t>
      </w: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Default="000F495F" w:rsidP="00345766">
      <w:pPr>
        <w:spacing w:line="560" w:lineRule="exact"/>
        <w:ind w:firstLineChars="200" w:firstLine="640"/>
        <w:rPr>
          <w:rFonts w:ascii="仿宋" w:eastAsia="仿宋" w:hAnsi="仿宋"/>
          <w:color w:val="000000" w:themeColor="text1"/>
          <w:sz w:val="32"/>
          <w:szCs w:val="32"/>
        </w:rPr>
      </w:pPr>
    </w:p>
    <w:p w:rsidR="000F495F" w:rsidRPr="00CB1C4D" w:rsidRDefault="00CB1C4D" w:rsidP="00CB1C4D">
      <w:pPr>
        <w:spacing w:line="560" w:lineRule="exact"/>
        <w:ind w:firstLineChars="200" w:firstLine="720"/>
        <w:jc w:val="center"/>
        <w:rPr>
          <w:rFonts w:ascii="黑体" w:eastAsia="黑体" w:hAnsi="黑体"/>
          <w:color w:val="000000" w:themeColor="text1"/>
          <w:sz w:val="36"/>
          <w:szCs w:val="36"/>
        </w:rPr>
      </w:pPr>
      <w:r w:rsidRPr="00CB1C4D">
        <w:rPr>
          <w:rFonts w:ascii="黑体" w:eastAsia="黑体" w:hAnsi="黑体"/>
          <w:color w:val="000000" w:themeColor="text1"/>
          <w:sz w:val="36"/>
          <w:szCs w:val="36"/>
        </w:rPr>
        <w:lastRenderedPageBreak/>
        <w:t>城市管理综合执法大队主要职责</w:t>
      </w:r>
    </w:p>
    <w:p w:rsidR="000F495F" w:rsidRPr="00345766" w:rsidRDefault="000F495F" w:rsidP="00345766">
      <w:pPr>
        <w:spacing w:line="560" w:lineRule="exact"/>
        <w:ind w:firstLineChars="200" w:firstLine="640"/>
        <w:rPr>
          <w:rFonts w:ascii="仿宋" w:eastAsia="仿宋" w:hAnsi="仿宋" w:hint="eastAsia"/>
          <w:color w:val="000000" w:themeColor="text1"/>
          <w:sz w:val="32"/>
          <w:szCs w:val="32"/>
        </w:rPr>
      </w:pPr>
      <w:bookmarkStart w:id="0" w:name="_GoBack"/>
      <w:bookmarkEnd w:id="0"/>
    </w:p>
    <w:p w:rsidR="00CB1C4D" w:rsidRPr="00CB1C4D" w:rsidRDefault="00CB1C4D" w:rsidP="00CB1C4D">
      <w:pPr>
        <w:spacing w:line="660" w:lineRule="exact"/>
        <w:rPr>
          <w:rFonts w:ascii="仿宋" w:eastAsia="仿宋" w:hAnsi="仿宋" w:hint="eastAsia"/>
          <w:color w:val="000000" w:themeColor="text1"/>
          <w:sz w:val="32"/>
          <w:szCs w:val="32"/>
        </w:rPr>
      </w:pPr>
      <w:r>
        <w:rPr>
          <w:rFonts w:ascii="仿宋" w:eastAsia="仿宋" w:hAnsi="仿宋" w:hint="eastAsia"/>
          <w:color w:val="000000" w:themeColor="text1"/>
          <w:sz w:val="32"/>
          <w:szCs w:val="32"/>
        </w:rPr>
        <w:t>（</w:t>
      </w:r>
      <w:r w:rsidRPr="00CB1C4D">
        <w:rPr>
          <w:rFonts w:ascii="仿宋" w:eastAsia="仿宋" w:hAnsi="仿宋" w:hint="eastAsia"/>
          <w:color w:val="000000" w:themeColor="text1"/>
          <w:sz w:val="32"/>
          <w:szCs w:val="32"/>
        </w:rPr>
        <w:t>一）行使市容环境卫生管理方面法律、法规、规章规定的全部行政处罚权，依法强制拆除不符合城市容貌标准、环境卫生标准的建筑物或者设施。</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（二）行使城市园林绿化管理方面法律、法规、规章规定的全部行政处罚权。</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（三）行使公安交通管理方面法律、法规、规章规定的对机动车、非机动车以外的违法占道行为的行政处罚权。</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（四）行使市政管理方面法律、法规、规章规定的违法占道行为的行政处罚权。</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（五）行使城市规划管理方面法律、法规、规章规定的对未经规划部门许可的违法建设行为的行政处罚权。</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（六）行使工商行政管理方面法律、法规、规章规定的对占用道路无照经营行为或未在指定地点经营并影响市容的违法行为的行政处罚权。</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（七）行使对违反公用事业和公共事业管理方面的法律、法规、规章规定行为的行政处罚权。</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（八）负责组织协调全域内野生动物保护工作；负责加强对本辖区范围内林地、滩涂、湿地等野生动物栖息地范围内的鸟类保护工作。</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lastRenderedPageBreak/>
        <w:t>（九）协助城管局开展市容市貌、环卫扫保、垃圾清运、生活垃圾分类、“无废城市”建设试点等相关工作。</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（十）负责制定综合执法年度工作计划；负责城市管理综合执法工作的组织实施、业务指导、统筹协调；负责重大执法活动、专项执法行动的指挥和部署。</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（十一）负责城市管理行政执法案件的法律审核，规范执法程序、执法文书和处罚标准，开展综合执法监督检查和综合考评。</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（十二）负责执法案卷的立卷、归档和管理，负责管理行政执法过程中的录音、录像、照相、笔录等执法证据。</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（十三）负责综合执法管理方面的行政审批职责，负责渣土运输审批事项。</w:t>
      </w:r>
    </w:p>
    <w:p w:rsidR="00CB1C4D" w:rsidRPr="00CB1C4D" w:rsidRDefault="00CB1C4D" w:rsidP="00CB1C4D">
      <w:pPr>
        <w:spacing w:line="660" w:lineRule="exact"/>
        <w:rPr>
          <w:rFonts w:ascii="仿宋" w:eastAsia="仿宋" w:hAnsi="仿宋"/>
          <w:color w:val="000000" w:themeColor="text1"/>
          <w:sz w:val="32"/>
          <w:szCs w:val="32"/>
        </w:rPr>
      </w:pPr>
      <w:r w:rsidRPr="00CB1C4D">
        <w:rPr>
          <w:rFonts w:ascii="仿宋" w:eastAsia="仿宋" w:hAnsi="仿宋" w:hint="eastAsia"/>
          <w:color w:val="000000" w:themeColor="text1"/>
          <w:sz w:val="32"/>
          <w:szCs w:val="32"/>
        </w:rPr>
        <w:t>（十四）负责重要节日、重大活动期间的流动商贩、市容环境、综合整治等方面综合保障工作。</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（十五）负责城市管理综合执法流动商贩、违法建设、户外烧烤、散发广告、乱堆乱放、乱写乱画、乱贴乱挂、渣土撒漏等方面的信访工作。</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（十六）组织开展综合执法有关的对外联系与合作交流。</w:t>
      </w:r>
    </w:p>
    <w:p w:rsidR="00CB1C4D" w:rsidRPr="00CB1C4D" w:rsidRDefault="00CB1C4D" w:rsidP="00CB1C4D">
      <w:pPr>
        <w:spacing w:line="660" w:lineRule="exact"/>
        <w:rPr>
          <w:rFonts w:ascii="仿宋" w:eastAsia="仿宋" w:hAnsi="仿宋" w:hint="eastAsia"/>
          <w:color w:val="000000" w:themeColor="text1"/>
          <w:sz w:val="32"/>
          <w:szCs w:val="32"/>
        </w:rPr>
      </w:pPr>
      <w:r w:rsidRPr="00CB1C4D">
        <w:rPr>
          <w:rFonts w:ascii="仿宋" w:eastAsia="仿宋" w:hAnsi="仿宋" w:hint="eastAsia"/>
          <w:color w:val="000000" w:themeColor="text1"/>
          <w:sz w:val="32"/>
          <w:szCs w:val="32"/>
        </w:rPr>
        <w:t>（十七）承担生态城综合行政执法相关职责。</w:t>
      </w:r>
    </w:p>
    <w:p w:rsidR="00345766" w:rsidRPr="00345766" w:rsidRDefault="00CB1C4D" w:rsidP="00CB1C4D">
      <w:pPr>
        <w:spacing w:line="660" w:lineRule="exact"/>
        <w:rPr>
          <w:rFonts w:ascii="仿宋" w:eastAsia="仿宋" w:hAnsi="仿宋"/>
          <w:color w:val="000000" w:themeColor="text1"/>
          <w:sz w:val="32"/>
          <w:szCs w:val="32"/>
        </w:rPr>
      </w:pPr>
      <w:r w:rsidRPr="00CB1C4D">
        <w:rPr>
          <w:rFonts w:ascii="仿宋" w:eastAsia="仿宋" w:hAnsi="仿宋" w:hint="eastAsia"/>
          <w:color w:val="000000" w:themeColor="text1"/>
          <w:sz w:val="32"/>
          <w:szCs w:val="32"/>
        </w:rPr>
        <w:t>（十八）承办党委管委会交办的其他事项。</w:t>
      </w:r>
    </w:p>
    <w:p w:rsidR="00345766" w:rsidRPr="00345766" w:rsidRDefault="00345766" w:rsidP="00CB1C4D">
      <w:pPr>
        <w:spacing w:line="680" w:lineRule="exact"/>
        <w:rPr>
          <w:rFonts w:ascii="黑体" w:eastAsia="黑体" w:hAnsi="黑体" w:hint="eastAsia"/>
          <w:sz w:val="32"/>
          <w:szCs w:val="32"/>
        </w:rPr>
      </w:pPr>
    </w:p>
    <w:sectPr w:rsidR="00345766" w:rsidRPr="003457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F0" w:rsidRDefault="00C270F0" w:rsidP="002E7256">
      <w:r>
        <w:separator/>
      </w:r>
    </w:p>
  </w:endnote>
  <w:endnote w:type="continuationSeparator" w:id="0">
    <w:p w:rsidR="00C270F0" w:rsidRDefault="00C270F0" w:rsidP="002E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F0" w:rsidRDefault="00C270F0" w:rsidP="002E7256">
      <w:r>
        <w:separator/>
      </w:r>
    </w:p>
  </w:footnote>
  <w:footnote w:type="continuationSeparator" w:id="0">
    <w:p w:rsidR="00C270F0" w:rsidRDefault="00C270F0" w:rsidP="002E7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A8"/>
    <w:rsid w:val="000F495F"/>
    <w:rsid w:val="00181E93"/>
    <w:rsid w:val="00192397"/>
    <w:rsid w:val="002E7256"/>
    <w:rsid w:val="00345766"/>
    <w:rsid w:val="00477FD5"/>
    <w:rsid w:val="00707D5A"/>
    <w:rsid w:val="00C270F0"/>
    <w:rsid w:val="00CB1C4D"/>
    <w:rsid w:val="00E1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1D02D9-C2C0-41B0-9F98-0CCA8FA3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2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256"/>
    <w:rPr>
      <w:sz w:val="18"/>
      <w:szCs w:val="18"/>
    </w:rPr>
  </w:style>
  <w:style w:type="paragraph" w:styleId="a4">
    <w:name w:val="footer"/>
    <w:basedOn w:val="a"/>
    <w:link w:val="Char0"/>
    <w:uiPriority w:val="99"/>
    <w:unhideWhenUsed/>
    <w:rsid w:val="002E7256"/>
    <w:pPr>
      <w:tabs>
        <w:tab w:val="center" w:pos="4153"/>
        <w:tab w:val="right" w:pos="8306"/>
      </w:tabs>
      <w:snapToGrid w:val="0"/>
      <w:jc w:val="left"/>
    </w:pPr>
    <w:rPr>
      <w:sz w:val="18"/>
      <w:szCs w:val="18"/>
    </w:rPr>
  </w:style>
  <w:style w:type="character" w:customStyle="1" w:styleId="Char0">
    <w:name w:val="页脚 Char"/>
    <w:basedOn w:val="a0"/>
    <w:link w:val="a4"/>
    <w:uiPriority w:val="99"/>
    <w:rsid w:val="002E7256"/>
    <w:rPr>
      <w:sz w:val="18"/>
      <w:szCs w:val="18"/>
    </w:rPr>
  </w:style>
  <w:style w:type="character" w:customStyle="1" w:styleId="f-article-txt-fb">
    <w:name w:val="f-article-txt-fb"/>
    <w:basedOn w:val="a0"/>
    <w:rsid w:val="00345766"/>
  </w:style>
  <w:style w:type="character" w:customStyle="1" w:styleId="apple-converted-space">
    <w:name w:val="apple-converted-space"/>
    <w:basedOn w:val="a0"/>
    <w:rsid w:val="00345766"/>
  </w:style>
  <w:style w:type="character" w:styleId="a5">
    <w:name w:val="Hyperlink"/>
    <w:basedOn w:val="a0"/>
    <w:uiPriority w:val="99"/>
    <w:semiHidden/>
    <w:unhideWhenUsed/>
    <w:rsid w:val="00345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indlaw.cn/cse/search?s=5951707868767694152&amp;entry=1&amp;q=%E7%8E%AF%E5%A2%83%E5%8D%AB%E7%94%9F%E6%A0%87%E5%87%86" TargetMode="External"/><Relationship Id="rId13" Type="http://schemas.openxmlformats.org/officeDocument/2006/relationships/hyperlink" Target="http://so.findlaw.cn/cse/search?s=5951707868767694152&amp;entry=1&amp;q=%E6%96%87%E6%98%8E%E6%89%A7%E6%B3%95" TargetMode="External"/><Relationship Id="rId18" Type="http://schemas.openxmlformats.org/officeDocument/2006/relationships/hyperlink" Target="http://so.findlaw.cn/cse/search?s=5951707868767694152&amp;entry=1&amp;q=%E5%A4%A9%E6%B4%A5%E6%B8%AF%E4%BF%9D%E7%A8%8E%E5%8C%B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o.findlaw.cn/cse/search?s=5951707868767694152&amp;entry=1&amp;q=%E3%80%8A%E4%B8%AD%E5%8D%8E%E4%BA%BA%E6%B0%91%E5%85%B1%E5%92%8C%E5%9B%BD%E8%A1%8C%E6%94%BF%E5%A4%84%E7%BD%9A%E6%B3%95%E3%80%8B" TargetMode="External"/><Relationship Id="rId12" Type="http://schemas.openxmlformats.org/officeDocument/2006/relationships/hyperlink" Target="http://so.findlaw.cn/cse/search?s=5951707868767694152&amp;entry=1&amp;q=%E4%B8%A5%E6%A0%BC%E6%89%A7%E6%B3%95" TargetMode="External"/><Relationship Id="rId17" Type="http://schemas.openxmlformats.org/officeDocument/2006/relationships/hyperlink" Target="http://so.findlaw.cn/cse/search?s=5951707868767694152&amp;entry=1&amp;q=%E5%A4%A9%E6%B4%A5%E7%BB%8F%E6%B5%8E%E6%8A%80%E6%9C%AF%E5%BC%80%E5%8F%91%E5%8C%BA" TargetMode="External"/><Relationship Id="rId2" Type="http://schemas.openxmlformats.org/officeDocument/2006/relationships/settings" Target="settings.xml"/><Relationship Id="rId16" Type="http://schemas.openxmlformats.org/officeDocument/2006/relationships/hyperlink" Target="http://so.findlaw.cn/cse/search?s=5951707868767694152&amp;entry=1&amp;q=%E6%9A%B4%E5%8A%9B%E6%8A%97%E6%B3%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findlaw.cn/cse/search?s=5951707868767694152&amp;entry=1&amp;q=%E8%A1%8C%E6%94%BF%E6%89%A7%E6%B3%95" TargetMode="External"/><Relationship Id="rId11" Type="http://schemas.openxmlformats.org/officeDocument/2006/relationships/hyperlink" Target="http://so.findlaw.cn/cse/search?s=5951707868767694152&amp;entry=1&amp;q=%E6%97%A0%E7%85%A7%E7%BB%8F%E8%90%A5" TargetMode="External"/><Relationship Id="rId5" Type="http://schemas.openxmlformats.org/officeDocument/2006/relationships/endnotes" Target="endnotes.xml"/><Relationship Id="rId15" Type="http://schemas.openxmlformats.org/officeDocument/2006/relationships/hyperlink" Target="http://so.findlaw.cn/cse/search?s=5951707868767694152&amp;entry=1&amp;q=%E8%A1%8C%E6%94%BF%E6%94%B6%E8%B4%B9" TargetMode="External"/><Relationship Id="rId10" Type="http://schemas.openxmlformats.org/officeDocument/2006/relationships/hyperlink" Target="http://so.findlaw.cn/cse/search?s=5951707868767694152&amp;entry=1&amp;q=%E5%B7%A5%E5%95%86%E8%A1%8C%E6%94%BF%E7%AE%A1%E7%90%86" TargetMode="External"/><Relationship Id="rId19" Type="http://schemas.openxmlformats.org/officeDocument/2006/relationships/hyperlink" Target="http://so.findlaw.cn/cse/search?s=5951707868767694152&amp;entry=1&amp;q=%E5%A4%A9%E6%B4%A5%E6%96%B0%E6%8A%80%E6%9C%AF%E4%BA%A7%E4%B8%9A%E5%9B%AD%E5%8C%BA" TargetMode="External"/><Relationship Id="rId4" Type="http://schemas.openxmlformats.org/officeDocument/2006/relationships/footnotes" Target="footnotes.xml"/><Relationship Id="rId9" Type="http://schemas.openxmlformats.org/officeDocument/2006/relationships/hyperlink" Target="http://so.findlaw.cn/cse/search?s=5951707868767694152&amp;entry=1&amp;q=%E8%BF%9D%E6%B3%95%E5%BB%BA%E8%AE%BE" TargetMode="External"/><Relationship Id="rId14" Type="http://schemas.openxmlformats.org/officeDocument/2006/relationships/hyperlink" Target="http://so.findlaw.cn/cse/search?s=5951707868767694152&amp;entry=1&amp;q=%E7%8E%B0%E5%9C%BA%E6%A3%80%E6%9F%A5%E7%AC%94%E5%BD%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921</Words>
  <Characters>5252</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2019-08-30T06:13:00Z</dcterms:created>
  <dcterms:modified xsi:type="dcterms:W3CDTF">2019-09-03T08:39:00Z</dcterms:modified>
</cp:coreProperties>
</file>