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方正小标宋简体" w:hAnsi="黑体" w:eastAsia="方正小标宋简体"/>
          <w:color w:val="000000" w:themeColor="text1"/>
          <w:sz w:val="44"/>
          <w:szCs w:val="44"/>
          <w:lang w:val="en-US" w:eastAsia="zh-CN"/>
        </w:rPr>
      </w:pPr>
      <w:r>
        <w:rPr>
          <w:rFonts w:hint="eastAsia" w:ascii="方正小标宋简体" w:hAnsi="黑体" w:eastAsia="方正小标宋简体"/>
          <w:color w:val="000000" w:themeColor="text1"/>
          <w:sz w:val="44"/>
          <w:szCs w:val="44"/>
        </w:rPr>
        <w:t>中新天津生态城生态环境局关于对</w:t>
      </w:r>
      <w:r>
        <w:rPr>
          <w:rFonts w:hint="eastAsia" w:ascii="方正小标宋简体" w:hAnsi="黑体" w:eastAsia="方正小标宋简体"/>
          <w:color w:val="000000" w:themeColor="text1"/>
          <w:sz w:val="44"/>
          <w:szCs w:val="44"/>
          <w:lang w:val="en-US" w:eastAsia="zh-CN"/>
        </w:rPr>
        <w:t>中新天津</w:t>
      </w: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方正小标宋简体" w:hAnsi="黑体" w:eastAsia="方正小标宋简体"/>
          <w:color w:val="000000" w:themeColor="text1"/>
          <w:sz w:val="44"/>
          <w:szCs w:val="44"/>
        </w:rPr>
      </w:pPr>
      <w:r>
        <w:rPr>
          <w:rFonts w:hint="eastAsia" w:ascii="方正小标宋简体" w:hAnsi="黑体" w:eastAsia="方正小标宋简体"/>
          <w:color w:val="000000" w:themeColor="text1"/>
          <w:sz w:val="44"/>
          <w:szCs w:val="44"/>
          <w:lang w:val="en-US" w:eastAsia="zh-CN"/>
        </w:rPr>
        <w:t>生态城临海新城中学工程项目</w:t>
      </w:r>
      <w:r>
        <w:rPr>
          <w:rFonts w:hint="eastAsia" w:ascii="方正小标宋简体" w:hAnsi="黑体" w:eastAsia="方正小标宋简体"/>
          <w:color w:val="000000" w:themeColor="text1"/>
          <w:sz w:val="44"/>
          <w:szCs w:val="44"/>
        </w:rPr>
        <w:t>环境影响</w:t>
      </w:r>
    </w:p>
    <w:p>
      <w:pPr>
        <w:keepNext w:val="0"/>
        <w:keepLines w:val="0"/>
        <w:pageBreakBefore w:val="0"/>
        <w:widowControl w:val="0"/>
        <w:kinsoku/>
        <w:wordWrap/>
        <w:overflowPunct/>
        <w:topLinePunct w:val="0"/>
        <w:autoSpaceDE/>
        <w:autoSpaceDN/>
        <w:bidi w:val="0"/>
        <w:spacing w:line="640" w:lineRule="exact"/>
        <w:jc w:val="center"/>
        <w:textAlignment w:val="auto"/>
        <w:rPr>
          <w:rFonts w:ascii="方正小标宋简体" w:hAnsi="黑体" w:eastAsia="方正小标宋简体"/>
          <w:color w:val="000000" w:themeColor="text1"/>
          <w:sz w:val="44"/>
          <w:szCs w:val="44"/>
        </w:rPr>
      </w:pPr>
      <w:r>
        <w:rPr>
          <w:rFonts w:hint="eastAsia" w:ascii="方正小标宋简体" w:hAnsi="黑体" w:eastAsia="方正小标宋简体"/>
          <w:color w:val="000000" w:themeColor="text1"/>
          <w:sz w:val="44"/>
          <w:szCs w:val="44"/>
        </w:rPr>
        <w:t>报告表的批复</w:t>
      </w:r>
    </w:p>
    <w:p>
      <w:pPr>
        <w:keepNext w:val="0"/>
        <w:keepLines w:val="0"/>
        <w:pageBreakBefore w:val="0"/>
        <w:widowControl w:val="0"/>
        <w:kinsoku/>
        <w:wordWrap/>
        <w:overflowPunct/>
        <w:topLinePunct w:val="0"/>
        <w:autoSpaceDE/>
        <w:autoSpaceDN/>
        <w:bidi w:val="0"/>
        <w:spacing w:line="640" w:lineRule="exact"/>
        <w:jc w:val="center"/>
        <w:textAlignment w:val="auto"/>
        <w:rPr>
          <w:rFonts w:eastAsia="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天津生态城国有资产经营管理有限公司</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你单位呈报的《</w:t>
      </w:r>
      <w:r>
        <w:rPr>
          <w:rFonts w:hint="eastAsia" w:ascii="仿宋_GB2312" w:hAnsi="仿宋_GB2312" w:eastAsia="仿宋_GB2312" w:cs="仿宋_GB2312"/>
          <w:color w:val="000000"/>
          <w:sz w:val="32"/>
          <w:szCs w:val="32"/>
          <w:lang w:val="en-US" w:eastAsia="zh-CN"/>
        </w:rPr>
        <w:t>中新天津生态城临海新城中学工程项目</w:t>
      </w:r>
      <w:r>
        <w:rPr>
          <w:rFonts w:hint="eastAsia" w:ascii="仿宋_GB2312" w:hAnsi="仿宋_GB2312" w:eastAsia="仿宋_GB2312" w:cs="仿宋_GB2312"/>
          <w:color w:val="000000"/>
          <w:kern w:val="0"/>
          <w:sz w:val="32"/>
          <w:szCs w:val="32"/>
        </w:rPr>
        <w:t>环境影响报告表</w:t>
      </w:r>
      <w:r>
        <w:rPr>
          <w:rFonts w:hint="eastAsia" w:ascii="仿宋_GB2312" w:hAnsi="仿宋_GB2312" w:eastAsia="仿宋_GB2312" w:cs="仿宋_GB2312"/>
          <w:color w:val="000000"/>
          <w:sz w:val="32"/>
          <w:szCs w:val="32"/>
        </w:rPr>
        <w:t>》等文件已收悉。经研究，现批复如下：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项目概况和环境可行性</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新天津生态城临海新城中学工程位于天津市滨海新区中新天津生态城临海新城，东至日盛路，西至富盛路，南至海泓道，北至海轩道。主要建设内容包括：普通教室、化学实验室、生物实验室、物理实验室、室外操场以及配套工程。项目建成后为一所</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年制普通中学，设置</w:t>
      </w:r>
      <w:r>
        <w:rPr>
          <w:rFonts w:hint="default" w:ascii="Times New Roman" w:hAnsi="Times New Roman" w:eastAsia="仿宋_GB2312" w:cs="Times New Roman"/>
          <w:color w:val="000000"/>
          <w:sz w:val="32"/>
          <w:szCs w:val="32"/>
          <w:lang w:val="en-US" w:eastAsia="zh-CN"/>
        </w:rPr>
        <w:t>36</w:t>
      </w:r>
      <w:r>
        <w:rPr>
          <w:rFonts w:hint="eastAsia" w:ascii="仿宋_GB2312" w:hAnsi="仿宋_GB2312" w:eastAsia="仿宋_GB2312" w:cs="仿宋_GB2312"/>
          <w:color w:val="000000"/>
          <w:sz w:val="32"/>
          <w:szCs w:val="32"/>
          <w:lang w:val="en-US" w:eastAsia="zh-CN"/>
        </w:rPr>
        <w:t>个教学班，班级人数约</w:t>
      </w:r>
      <w:r>
        <w:rPr>
          <w:rFonts w:hint="default" w:ascii="Times New Roman" w:hAnsi="Times New Roman" w:eastAsia="仿宋_GB2312" w:cs="Times New Roman"/>
          <w:color w:val="000000"/>
          <w:sz w:val="32"/>
          <w:szCs w:val="32"/>
          <w:lang w:val="en-US" w:eastAsia="zh-CN"/>
        </w:rPr>
        <w:t>50</w:t>
      </w:r>
      <w:r>
        <w:rPr>
          <w:rFonts w:hint="eastAsia" w:ascii="仿宋_GB2312" w:hAnsi="仿宋_GB2312" w:eastAsia="仿宋_GB2312" w:cs="仿宋_GB2312"/>
          <w:color w:val="000000"/>
          <w:sz w:val="32"/>
          <w:szCs w:val="32"/>
          <w:lang w:val="en-US" w:eastAsia="zh-CN"/>
        </w:rPr>
        <w:t>人/班，学生规模为</w:t>
      </w:r>
      <w:r>
        <w:rPr>
          <w:rFonts w:hint="default" w:ascii="Times New Roman" w:hAnsi="Times New Roman" w:eastAsia="仿宋_GB2312" w:cs="Times New Roman"/>
          <w:color w:val="000000"/>
          <w:sz w:val="32"/>
          <w:szCs w:val="32"/>
          <w:lang w:val="en-US" w:eastAsia="zh-CN"/>
        </w:rPr>
        <w:t>1800</w:t>
      </w:r>
      <w:r>
        <w:rPr>
          <w:rFonts w:hint="eastAsia" w:ascii="仿宋_GB2312" w:hAnsi="仿宋_GB2312" w:eastAsia="仿宋_GB2312" w:cs="仿宋_GB2312"/>
          <w:color w:val="000000"/>
          <w:sz w:val="32"/>
          <w:szCs w:val="32"/>
          <w:lang w:val="en-US" w:eastAsia="zh-CN"/>
        </w:rPr>
        <w:t>人，教职工规模为</w:t>
      </w:r>
      <w:r>
        <w:rPr>
          <w:rFonts w:hint="default" w:ascii="Times New Roman" w:hAnsi="Times New Roman" w:eastAsia="仿宋_GB2312" w:cs="Times New Roman"/>
          <w:color w:val="000000"/>
          <w:sz w:val="32"/>
          <w:szCs w:val="32"/>
          <w:lang w:val="en-US" w:eastAsia="zh-CN"/>
        </w:rPr>
        <w:t>200</w:t>
      </w:r>
      <w:r>
        <w:rPr>
          <w:rFonts w:hint="eastAsia" w:ascii="仿宋_GB2312" w:hAnsi="仿宋_GB2312" w:eastAsia="仿宋_GB2312" w:cs="仿宋_GB2312"/>
          <w:color w:val="000000"/>
          <w:sz w:val="32"/>
          <w:szCs w:val="32"/>
          <w:lang w:val="en-US" w:eastAsia="zh-CN"/>
        </w:rPr>
        <w:t>人。项目总投资</w:t>
      </w:r>
      <w:r>
        <w:rPr>
          <w:rFonts w:hint="default" w:ascii="Times New Roman" w:hAnsi="Times New Roman" w:eastAsia="仿宋_GB2312" w:cs="Times New Roman"/>
          <w:color w:val="000000"/>
          <w:sz w:val="32"/>
          <w:szCs w:val="32"/>
          <w:lang w:val="en-US" w:eastAsia="zh-CN"/>
        </w:rPr>
        <w:t>47550.29</w:t>
      </w:r>
      <w:r>
        <w:rPr>
          <w:rFonts w:hint="eastAsia" w:ascii="仿宋_GB2312" w:hAnsi="仿宋_GB2312" w:eastAsia="仿宋_GB2312" w:cs="仿宋_GB2312"/>
          <w:color w:val="000000"/>
          <w:sz w:val="32"/>
          <w:szCs w:val="32"/>
          <w:lang w:val="en-US" w:eastAsia="zh-CN"/>
        </w:rPr>
        <w:t>万元，其中环保投资</w:t>
      </w:r>
      <w:r>
        <w:rPr>
          <w:rFonts w:hint="default" w:ascii="Times New Roman" w:hAnsi="Times New Roman" w:eastAsia="仿宋_GB2312" w:cs="Times New Roman"/>
          <w:color w:val="000000"/>
          <w:sz w:val="32"/>
          <w:szCs w:val="32"/>
          <w:lang w:val="en-US" w:eastAsia="zh-CN"/>
        </w:rPr>
        <w:t>310</w:t>
      </w:r>
      <w:r>
        <w:rPr>
          <w:rFonts w:hint="eastAsia" w:ascii="仿宋_GB2312" w:hAnsi="仿宋_GB2312" w:eastAsia="仿宋_GB2312" w:cs="仿宋_GB2312"/>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项目建设内容符合相关产业政策及生态城总体规划。</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rPr>
        <w:t>日至</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rPr>
        <w:t>日、</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rPr>
        <w:t>月</w:t>
      </w:r>
      <w:r>
        <w:rPr>
          <w:rFonts w:hint="default" w:ascii="Times New Roman" w:hAnsi="Times New Roman" w:eastAsia="仿宋_GB2312" w:cs="Times New Roman"/>
          <w:color w:val="000000"/>
          <w:sz w:val="32"/>
          <w:szCs w:val="32"/>
          <w:lang w:val="en-US" w:eastAsia="zh-CN"/>
        </w:rPr>
        <w:t>8</w:t>
      </w:r>
      <w:r>
        <w:rPr>
          <w:rFonts w:hint="eastAsia" w:ascii="仿宋_GB2312" w:hAnsi="仿宋_GB2312" w:eastAsia="仿宋_GB2312" w:cs="仿宋_GB2312"/>
          <w:color w:val="000000"/>
          <w:sz w:val="32"/>
          <w:szCs w:val="32"/>
        </w:rPr>
        <w:t>日至</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rPr>
        <w:t>月</w:t>
      </w:r>
      <w:r>
        <w:rPr>
          <w:rFonts w:hint="default" w:ascii="Times New Roman" w:hAnsi="Times New Roman" w:eastAsia="仿宋_GB2312" w:cs="Times New Roman"/>
          <w:color w:val="000000"/>
          <w:sz w:val="32"/>
          <w:szCs w:val="32"/>
          <w:lang w:val="en-US" w:eastAsia="zh-CN"/>
        </w:rPr>
        <w:t>1</w:t>
      </w:r>
      <w:r>
        <w:rPr>
          <w:rFonts w:hint="eastAsia"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rPr>
        <w:t>日期间，我局将该项目有关情况在中新天津生态城网站进行了公示，根据天津市生态环境科学研究院技术评审意见（津环评审意见</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40</w:t>
      </w:r>
      <w:r>
        <w:rPr>
          <w:rFonts w:hint="eastAsia" w:ascii="仿宋_GB2312" w:hAnsi="仿宋_GB2312" w:eastAsia="仿宋_GB2312" w:cs="仿宋_GB2312"/>
          <w:color w:val="000000"/>
          <w:sz w:val="32"/>
          <w:szCs w:val="32"/>
        </w:rPr>
        <w:t>号）、环境影响评价报告表结论和公众意见反馈情况，在严格落实各项污染防治、各类污染物稳定达标排放的前提下，原则同意本项目建设。</w:t>
      </w:r>
    </w:p>
    <w:p>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640" w:lineRule="exact"/>
        <w:ind w:firstLineChars="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认真落实各项污染防治措施，并重点做好以下工作：</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.施工期间应严格按照《中新天津生态城绿色施工技术管理规程》开展绿色施工管理，避免项目施工对环境造成负面影响。</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.运营期间实验过程产生的氯化氢、硫酸雾经通风橱收集后，通过</w:t>
      </w:r>
      <w:r>
        <w:rPr>
          <w:rFonts w:hint="default" w:ascii="Times New Roman" w:hAnsi="Times New Roman" w:eastAsia="仿宋_GB2312" w:cs="Times New Roman"/>
          <w:color w:val="000000"/>
          <w:sz w:val="32"/>
          <w:szCs w:val="32"/>
          <w:lang w:val="en-US" w:eastAsia="zh-CN"/>
        </w:rPr>
        <w:t>SDG</w:t>
      </w:r>
      <w:r>
        <w:rPr>
          <w:rFonts w:hint="eastAsia" w:ascii="仿宋_GB2312" w:hAnsi="仿宋_GB2312" w:eastAsia="仿宋_GB2312" w:cs="仿宋_GB2312"/>
          <w:color w:val="000000"/>
          <w:sz w:val="32"/>
          <w:szCs w:val="32"/>
          <w:lang w:val="en-US" w:eastAsia="zh-CN"/>
        </w:rPr>
        <w:t>干式吸附处理后由</w:t>
      </w:r>
      <w:r>
        <w:rPr>
          <w:rFonts w:hint="default" w:ascii="Times New Roman" w:hAnsi="Times New Roman" w:eastAsia="仿宋_GB2312" w:cs="Times New Roman"/>
          <w:color w:val="000000"/>
          <w:sz w:val="32"/>
          <w:szCs w:val="32"/>
          <w:lang w:val="en-US" w:eastAsia="zh-CN"/>
        </w:rPr>
        <w:t>23</w:t>
      </w:r>
      <w:r>
        <w:rPr>
          <w:rFonts w:hint="eastAsia" w:ascii="仿宋_GB2312" w:hAnsi="仿宋_GB2312" w:eastAsia="仿宋_GB2312" w:cs="仿宋_GB2312"/>
          <w:color w:val="000000"/>
          <w:sz w:val="32"/>
          <w:szCs w:val="32"/>
          <w:lang w:val="en-US" w:eastAsia="zh-CN"/>
        </w:rPr>
        <w:t>米高的排气筒排放。烹饪过程中产生的油烟废气通过集气罩收集，经油烟净化设备处理后，由专用烟道引至屋顶</w:t>
      </w:r>
      <w:r>
        <w:rPr>
          <w:rFonts w:hint="default" w:ascii="Times New Roman" w:hAnsi="Times New Roman" w:eastAsia="仿宋_GB2312" w:cs="Times New Roman"/>
          <w:color w:val="000000"/>
          <w:sz w:val="32"/>
          <w:szCs w:val="32"/>
          <w:lang w:val="en-US" w:eastAsia="zh-CN"/>
        </w:rPr>
        <w:t>19</w:t>
      </w:r>
      <w:r>
        <w:rPr>
          <w:rFonts w:hint="eastAsia" w:ascii="仿宋_GB2312" w:hAnsi="仿宋_GB2312" w:eastAsia="仿宋_GB2312" w:cs="仿宋_GB2312"/>
          <w:color w:val="000000"/>
          <w:sz w:val="32"/>
          <w:szCs w:val="32"/>
          <w:lang w:val="en-US" w:eastAsia="zh-CN"/>
        </w:rPr>
        <w:t>米高排气筒排放。</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.运营期间生活污水经化粪池沉淀、食堂含油废水经隔油池处理，以上废水混合后经污水总排口达标排入市政污水管网，最终进入生态城水处理中心。</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.运营期水泵房、风机等应选用低噪声设备，并做好建筑隔声和设备隔声减振措施，确保厂界噪声达标。</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做好各类固体废物的收集、贮存及运输，做到资源化、减量化、无害化。项目产生的废包材等属于一般工业固废，由物资回收部门回收；生活垃圾委托环卫部门定期清运；实验室产生的实验废液、废试剂瓶等属于危险废物，须按照《危险废物收集 贮存 运输技术规范》（</w:t>
      </w:r>
      <w:r>
        <w:rPr>
          <w:rFonts w:hint="default" w:ascii="Times New Roman" w:hAnsi="Times New Roman" w:eastAsia="仿宋_GB2312" w:cs="Times New Roman"/>
          <w:color w:val="000000"/>
          <w:sz w:val="32"/>
          <w:szCs w:val="32"/>
          <w:lang w:val="en-US" w:eastAsia="zh-CN"/>
        </w:rPr>
        <w:t>HJ2025-2012</w:t>
      </w:r>
      <w:r>
        <w:rPr>
          <w:rFonts w:hint="eastAsia" w:ascii="仿宋_GB2312" w:hAnsi="仿宋_GB2312" w:eastAsia="仿宋_GB2312" w:cs="仿宋_GB2312"/>
          <w:color w:val="000000"/>
          <w:sz w:val="32"/>
          <w:szCs w:val="32"/>
          <w:lang w:val="en-US" w:eastAsia="zh-CN"/>
        </w:rPr>
        <w:t>）进行收集、贮存及运输，并交由有相应资质单位进行处理、处置；危险废物暂存间应按照《危险废物贮存污染控制标准》（</w:t>
      </w:r>
      <w:r>
        <w:rPr>
          <w:rFonts w:hint="default" w:ascii="Times New Roman" w:hAnsi="Times New Roman" w:eastAsia="仿宋_GB2312" w:cs="Times New Roman"/>
          <w:color w:val="000000"/>
          <w:sz w:val="32"/>
          <w:szCs w:val="32"/>
          <w:lang w:val="en-US" w:eastAsia="zh-CN"/>
        </w:rPr>
        <w:t>GB18597-2023</w:t>
      </w:r>
      <w:r>
        <w:rPr>
          <w:rFonts w:hint="eastAsia" w:ascii="仿宋_GB2312" w:hAnsi="仿宋_GB2312" w:eastAsia="仿宋_GB2312" w:cs="仿宋_GB2312"/>
          <w:color w:val="000000"/>
          <w:sz w:val="32"/>
          <w:szCs w:val="32"/>
          <w:lang w:val="en-US" w:eastAsia="zh-CN"/>
        </w:rPr>
        <w:t>）进行管理，严格按照《工业危险废物产生单位规范化管理指标及抽查表》做好危险废物规范化管理工作。</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 xml:space="preserve">.加强环境管理，健全各种环保制度，统筹制订完备的事故防范、减缓措施和应急预案，强化环境风险管理，减轻事故影响。 </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若建设项目的性质、规模、地点、采用的生产工艺或者防治污染、防止生态破坏的措施发生重大变动，你公司应重新报批建设项目的环境影响评价文件。</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四、项目建成后须按照规定程序办理</w:t>
      </w:r>
      <w:r>
        <w:rPr>
          <w:rFonts w:hint="eastAsia" w:ascii="仿宋_GB2312" w:hAnsi="仿宋_GB2312" w:eastAsia="仿宋_GB2312" w:cs="仿宋_GB2312"/>
          <w:color w:val="000000"/>
          <w:sz w:val="32"/>
          <w:szCs w:val="32"/>
          <w:lang w:val="en-US" w:eastAsia="zh-CN"/>
        </w:rPr>
        <w:t>排污许可、</w:t>
      </w:r>
      <w:r>
        <w:rPr>
          <w:rFonts w:hint="eastAsia" w:ascii="仿宋_GB2312" w:hAnsi="仿宋_GB2312" w:eastAsia="仿宋_GB2312" w:cs="仿宋_GB2312"/>
          <w:color w:val="000000"/>
          <w:sz w:val="32"/>
          <w:szCs w:val="32"/>
        </w:rPr>
        <w:t>竣工环境保护验收等手续，方可投入正式运行。</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pP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本项目已取得由天津市滨海新区生态环境局出具的总量来源确认意见:</w:t>
      </w:r>
      <w:r>
        <w:rPr>
          <w:rFonts w:hint="eastAsia" w:ascii="仿宋_GB2312" w:hAnsi="仿宋_GB2312" w:eastAsia="仿宋_GB2312" w:cs="仿宋_GB2312"/>
          <w:b w:val="0"/>
          <w:color w:val="000000"/>
          <w:kern w:val="2"/>
          <w:sz w:val="32"/>
          <w:szCs w:val="32"/>
          <w:lang w:val="en-US" w:eastAsia="zh-CN" w:bidi="ar-SA"/>
        </w:rPr>
        <w:t>新增主要污染物</w:t>
      </w:r>
      <w:r>
        <w:rPr>
          <w:rFonts w:hint="eastAsia" w:ascii="仿宋_GB2312" w:hAnsi="仿宋_GB2312" w:eastAsia="仿宋_GB2312" w:cs="仿宋_GB2312"/>
          <w:color w:val="000000"/>
          <w:sz w:val="32"/>
          <w:szCs w:val="32"/>
          <w:lang w:val="en-US" w:eastAsia="zh-CN"/>
        </w:rPr>
        <w:t>化学需氧量</w:t>
      </w:r>
      <w:r>
        <w:rPr>
          <w:rFonts w:hint="eastAsia" w:eastAsia="仿宋_GB2312"/>
          <w:color w:val="000000"/>
          <w:sz w:val="32"/>
          <w:szCs w:val="32"/>
          <w:lang w:val="en-US" w:eastAsia="zh-CN"/>
        </w:rPr>
        <w:t>8.8634</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氨氮</w:t>
      </w:r>
      <w:r>
        <w:rPr>
          <w:rFonts w:hint="eastAsia" w:eastAsia="仿宋_GB2312"/>
          <w:color w:val="000000"/>
          <w:sz w:val="32"/>
          <w:szCs w:val="32"/>
          <w:lang w:val="en-US" w:eastAsia="zh-CN"/>
        </w:rPr>
        <w:t>0.5926</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华文仿宋" w:eastAsia="仿宋_GB2312"/>
          <w:color w:val="000000"/>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本项目执行标准</w:t>
      </w:r>
      <w:r>
        <w:rPr>
          <w:rFonts w:hint="eastAsia" w:ascii="仿宋_GB2312" w:hAnsi="华文仿宋" w:eastAsia="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304"/>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.《大气污染物综合排放标准》（</w:t>
      </w:r>
      <w:r>
        <w:rPr>
          <w:rFonts w:hint="default" w:ascii="Times New Roman" w:hAnsi="Times New Roman" w:eastAsia="仿宋_GB2312" w:cs="Times New Roman"/>
          <w:sz w:val="32"/>
          <w:szCs w:val="32"/>
          <w:lang w:val="en-US" w:eastAsia="zh-CN"/>
        </w:rPr>
        <w:t>GB16297-1996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br w:type="textWrapping"/>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.《餐饮业油烟排放标准》（</w:t>
      </w:r>
      <w:r>
        <w:rPr>
          <w:rFonts w:hint="eastAsia" w:ascii="Times New Roman" w:hAnsi="Times New Roman" w:eastAsia="仿宋_GB2312" w:cs="Times New Roman"/>
          <w:sz w:val="32"/>
          <w:szCs w:val="32"/>
          <w:lang w:val="en-US" w:eastAsia="zh-CN"/>
        </w:rPr>
        <w:t>DB12/644-2016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br w:type="textWrapping"/>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lang w:val="en-US" w:eastAsia="zh-CN"/>
        </w:rPr>
        <w:t>.《污水综合排放标准》（</w:t>
      </w:r>
      <w:r>
        <w:rPr>
          <w:rFonts w:hint="eastAsia" w:ascii="Times New Roman" w:hAnsi="Times New Roman" w:eastAsia="仿宋_GB2312" w:cs="Times New Roman"/>
          <w:sz w:val="32"/>
          <w:szCs w:val="32"/>
          <w:lang w:val="en-US" w:eastAsia="zh-CN"/>
        </w:rPr>
        <w:t>DB12/356-2018</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《建筑施工场界环境噪声排放标准》（</w:t>
      </w:r>
      <w:r>
        <w:rPr>
          <w:rFonts w:hint="default" w:ascii="Times New Roman" w:hAnsi="Times New Roman" w:eastAsia="仿宋_GB2312" w:cs="Times New Roman"/>
          <w:sz w:val="32"/>
          <w:szCs w:val="32"/>
          <w:highlight w:val="none"/>
        </w:rPr>
        <w:t>GB12523-2011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华文仿宋" w:eastAsia="仿宋_GB2312"/>
          <w:color w:val="000000"/>
          <w:sz w:val="32"/>
          <w:szCs w:val="32"/>
          <w:highlight w:val="none"/>
          <w:lang w:eastAsia="zh-CN"/>
        </w:rPr>
      </w:pP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《工业企业厂界环境噪声排放标准》</w:t>
      </w:r>
      <w:r>
        <w:rPr>
          <w:rFonts w:hint="default"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GB12</w:t>
      </w:r>
      <w:r>
        <w:rPr>
          <w:rFonts w:hint="default" w:ascii="Times New Roman" w:hAnsi="Times New Roman" w:eastAsia="仿宋_GB2312" w:cs="Times New Roman"/>
          <w:color w:val="000000"/>
          <w:sz w:val="32"/>
          <w:szCs w:val="32"/>
          <w:highlight w:val="none"/>
        </w:rPr>
        <w:t>348-2008）</w:t>
      </w:r>
      <w:r>
        <w:rPr>
          <w:rFonts w:hint="eastAsia" w:ascii="仿宋_GB2312" w:hAnsi="华文仿宋" w:eastAsia="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640" w:lineRule="exact"/>
        <w:ind w:firstLine="640" w:firstLineChars="200"/>
        <w:textAlignment w:val="auto"/>
        <w:rPr>
          <w:rFonts w:hint="eastAsia" w:ascii="仿宋_GB2312" w:hAnsi="华文仿宋" w:eastAsia="仿宋_GB2312"/>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6.</w:t>
      </w:r>
      <w:r>
        <w:rPr>
          <w:rFonts w:hint="eastAsia" w:ascii="仿宋_GB2312" w:hAnsi="华文仿宋" w:eastAsia="仿宋_GB2312"/>
          <w:color w:val="000000"/>
          <w:sz w:val="32"/>
          <w:szCs w:val="32"/>
          <w:highlight w:val="none"/>
        </w:rPr>
        <w:t>《一般工业固体废物贮存和填埋污染控制标准》</w:t>
      </w:r>
      <w:r>
        <w:rPr>
          <w:rFonts w:hint="default" w:ascii="Times New Roman" w:hAnsi="Times New Roman" w:eastAsia="仿宋_GB2312" w:cs="Times New Roman"/>
          <w:color w:val="000000"/>
          <w:sz w:val="32"/>
          <w:szCs w:val="32"/>
          <w:highlight w:val="none"/>
        </w:rPr>
        <w:t>（GB18599-2020）</w:t>
      </w:r>
      <w:r>
        <w:rPr>
          <w:rFonts w:hint="eastAsia" w:eastAsia="仿宋_GB2312" w:cs="Times New Roman"/>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640" w:lineRule="exact"/>
        <w:ind w:firstLine="640" w:firstLineChars="200"/>
        <w:textAlignment w:val="auto"/>
        <w:rPr>
          <w:rFonts w:hint="eastAsia" w:ascii="仿宋_GB2312" w:hAnsi="华文仿宋" w:eastAsia="仿宋_GB2312"/>
          <w:color w:val="000000"/>
          <w:sz w:val="32"/>
          <w:szCs w:val="32"/>
          <w:highlight w:val="none"/>
          <w:lang w:eastAsia="zh-CN"/>
        </w:rPr>
      </w:pPr>
      <w:r>
        <w:rPr>
          <w:rFonts w:hint="eastAsia" w:eastAsia="仿宋_GB2312" w:cs="Times New Roman"/>
          <w:color w:val="000000"/>
          <w:sz w:val="32"/>
          <w:szCs w:val="32"/>
          <w:highlight w:val="none"/>
          <w:lang w:val="en-US" w:eastAsia="zh-CN"/>
        </w:rPr>
        <w:t>7</w:t>
      </w:r>
      <w:r>
        <w:rPr>
          <w:rFonts w:hint="default" w:ascii="Times New Roman" w:hAnsi="Times New Roman" w:eastAsia="仿宋_GB2312" w:cs="Times New Roman"/>
          <w:color w:val="000000"/>
          <w:sz w:val="32"/>
          <w:szCs w:val="32"/>
          <w:highlight w:val="none"/>
          <w:lang w:val="en-US" w:eastAsia="zh-CN"/>
        </w:rPr>
        <w:t>.</w:t>
      </w:r>
      <w:r>
        <w:rPr>
          <w:rFonts w:hint="eastAsia" w:ascii="仿宋_GB2312" w:hAnsi="华文仿宋" w:eastAsia="仿宋_GB2312"/>
          <w:color w:val="000000"/>
          <w:sz w:val="32"/>
          <w:szCs w:val="32"/>
          <w:highlight w:val="none"/>
          <w:lang w:eastAsia="zh-CN"/>
        </w:rPr>
        <w:t>《</w:t>
      </w:r>
      <w:r>
        <w:rPr>
          <w:rFonts w:hint="eastAsia" w:ascii="仿宋_GB2312" w:hAnsi="华文仿宋" w:eastAsia="仿宋_GB2312"/>
          <w:color w:val="000000"/>
          <w:sz w:val="32"/>
          <w:szCs w:val="32"/>
          <w:highlight w:val="none"/>
          <w:lang w:val="en-US" w:eastAsia="zh-CN"/>
        </w:rPr>
        <w:t>危险废物贮存污染控制标准</w:t>
      </w:r>
      <w:r>
        <w:rPr>
          <w:rFonts w:hint="eastAsia" w:ascii="仿宋_GB2312" w:hAnsi="华文仿宋" w:eastAsia="仿宋_GB2312"/>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GB18597-20</w:t>
      </w:r>
      <w:r>
        <w:rPr>
          <w:rFonts w:hint="eastAsia"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highlight w:val="none"/>
          <w:lang w:eastAsia="zh-CN"/>
        </w:rPr>
        <w:t>）</w:t>
      </w:r>
      <w:r>
        <w:rPr>
          <w:rFonts w:hint="eastAsia" w:ascii="仿宋_GB2312" w:hAnsi="华文仿宋" w:eastAsia="仿宋_GB2312"/>
          <w:color w:val="000000"/>
          <w:sz w:val="32"/>
          <w:szCs w:val="32"/>
          <w:highlight w:val="none"/>
          <w:lang w:eastAsia="zh-CN"/>
        </w:rPr>
        <w:t>。</w:t>
      </w:r>
    </w:p>
    <w:p>
      <w:pPr>
        <w:pStyle w:val="2"/>
        <w:widowControl w:val="0"/>
        <w:numPr>
          <w:ilvl w:val="0"/>
          <w:numId w:val="0"/>
        </w:numPr>
        <w:spacing w:beforeLines="100"/>
        <w:jc w:val="center"/>
      </w:pPr>
    </w:p>
    <w:p>
      <w:pPr>
        <w:pStyle w:val="2"/>
        <w:keepNext w:val="0"/>
        <w:keepLines w:val="0"/>
        <w:pageBreakBefore w:val="0"/>
        <w:widowControl w:val="0"/>
        <w:kinsoku/>
        <w:wordWrap/>
        <w:overflowPunct/>
        <w:topLinePunct w:val="0"/>
        <w:autoSpaceDE/>
        <w:autoSpaceDN/>
        <w:bidi w:val="0"/>
        <w:spacing w:line="640" w:lineRule="exact"/>
        <w:textAlignment w:val="auto"/>
      </w:pPr>
    </w:p>
    <w:p>
      <w:pPr>
        <w:keepNext w:val="0"/>
        <w:keepLines w:val="0"/>
        <w:pageBreakBefore w:val="0"/>
        <w:widowControl w:val="0"/>
        <w:kinsoku/>
        <w:wordWrap/>
        <w:overflowPunct/>
        <w:topLinePunct w:val="0"/>
        <w:autoSpaceDE/>
        <w:autoSpaceDN/>
        <w:bidi w:val="0"/>
        <w:spacing w:line="640" w:lineRule="exact"/>
        <w:jc w:val="right"/>
        <w:textAlignment w:val="auto"/>
        <w:rPr>
          <w:rFonts w:eastAsia="仿宋_GB2312"/>
          <w:color w:val="000000" w:themeColor="text1"/>
          <w:sz w:val="32"/>
          <w:szCs w:val="32"/>
        </w:rPr>
      </w:pPr>
    </w:p>
    <w:p>
      <w:pPr>
        <w:keepNext w:val="0"/>
        <w:keepLines w:val="0"/>
        <w:pageBreakBefore w:val="0"/>
        <w:widowControl w:val="0"/>
        <w:kinsoku/>
        <w:wordWrap/>
        <w:overflowPunct/>
        <w:topLinePunct w:val="0"/>
        <w:autoSpaceDE/>
        <w:autoSpaceDN/>
        <w:bidi w:val="0"/>
        <w:spacing w:line="640" w:lineRule="exact"/>
        <w:jc w:val="right"/>
        <w:textAlignment w:val="auto"/>
        <w:rPr>
          <w:rFonts w:eastAsia="仿宋_GB2312"/>
          <w:color w:val="000000" w:themeColor="text1"/>
          <w:sz w:val="32"/>
          <w:szCs w:val="32"/>
        </w:rPr>
      </w:pPr>
    </w:p>
    <w:p>
      <w:pPr>
        <w:pStyle w:val="2"/>
      </w:pPr>
    </w:p>
    <w:p>
      <w:pPr>
        <w:keepNext w:val="0"/>
        <w:keepLines w:val="0"/>
        <w:pageBreakBefore w:val="0"/>
        <w:widowControl w:val="0"/>
        <w:kinsoku/>
        <w:wordWrap/>
        <w:overflowPunct/>
        <w:topLinePunct w:val="0"/>
        <w:autoSpaceDE/>
        <w:autoSpaceDN/>
        <w:bidi w:val="0"/>
        <w:spacing w:line="640" w:lineRule="exact"/>
        <w:jc w:val="right"/>
        <w:textAlignment w:val="auto"/>
        <w:rPr>
          <w:rFonts w:eastAsia="仿宋_GB2312"/>
          <w:color w:val="000000" w:themeColor="text1"/>
          <w:sz w:val="32"/>
          <w:szCs w:val="32"/>
        </w:rPr>
      </w:pPr>
    </w:p>
    <w:p>
      <w:pPr>
        <w:keepNext w:val="0"/>
        <w:keepLines w:val="0"/>
        <w:pageBreakBefore w:val="0"/>
        <w:widowControl w:val="0"/>
        <w:kinsoku/>
        <w:wordWrap/>
        <w:overflowPunct/>
        <w:topLinePunct w:val="0"/>
        <w:autoSpaceDE/>
        <w:autoSpaceDN/>
        <w:bidi w:val="0"/>
        <w:spacing w:line="640" w:lineRule="exact"/>
        <w:jc w:val="right"/>
        <w:textAlignment w:val="auto"/>
        <w:rPr>
          <w:rFonts w:hint="eastAsia" w:eastAsia="仿宋_GB2312"/>
          <w:color w:val="000000"/>
          <w:sz w:val="28"/>
          <w:szCs w:val="32"/>
        </w:rPr>
      </w:pPr>
      <w:r>
        <w:rPr>
          <w:rFonts w:eastAsia="仿宋_GB2312"/>
          <w:color w:val="000000" w:themeColor="text1"/>
          <w:sz w:val="32"/>
          <w:szCs w:val="32"/>
        </w:rPr>
        <w:t>202</w:t>
      </w:r>
      <w:r>
        <w:rPr>
          <w:rFonts w:hint="eastAsia" w:eastAsia="仿宋_GB2312"/>
          <w:color w:val="000000" w:themeColor="text1"/>
          <w:sz w:val="32"/>
          <w:szCs w:val="32"/>
          <w:lang w:val="en-US" w:eastAsia="zh-CN"/>
        </w:rPr>
        <w:t>3</w:t>
      </w:r>
      <w:r>
        <w:rPr>
          <w:rFonts w:hint="eastAsia" w:ascii="仿宋_GB2312" w:hAnsi="仿宋" w:eastAsia="仿宋_GB2312"/>
          <w:color w:val="000000" w:themeColor="text1"/>
          <w:sz w:val="32"/>
          <w:szCs w:val="32"/>
        </w:rPr>
        <w:t>年</w:t>
      </w:r>
      <w:r>
        <w:rPr>
          <w:rFonts w:hint="eastAsia" w:eastAsia="仿宋_GB2312"/>
          <w:color w:val="000000" w:themeColor="text1"/>
          <w:sz w:val="32"/>
          <w:szCs w:val="32"/>
          <w:lang w:val="en-US" w:eastAsia="zh-CN"/>
        </w:rPr>
        <w:t>6</w:t>
      </w:r>
      <w:r>
        <w:rPr>
          <w:rFonts w:hint="eastAsia" w:ascii="仿宋_GB2312" w:hAnsi="仿宋" w:eastAsia="仿宋_GB2312"/>
          <w:color w:val="000000" w:themeColor="text1"/>
          <w:sz w:val="32"/>
          <w:szCs w:val="32"/>
        </w:rPr>
        <w:t>月</w:t>
      </w:r>
      <w:r>
        <w:rPr>
          <w:rFonts w:hint="default" w:ascii="Times New Roman" w:hAnsi="Times New Roman" w:eastAsia="仿宋_GB2312" w:cs="Times New Roman"/>
          <w:color w:val="000000" w:themeColor="text1"/>
          <w:sz w:val="32"/>
          <w:szCs w:val="32"/>
          <w:lang w:val="en-US" w:eastAsia="zh-CN"/>
        </w:rPr>
        <w:t>19</w:t>
      </w:r>
      <w:r>
        <w:rPr>
          <w:rFonts w:hint="eastAsia" w:ascii="仿宋_GB2312" w:hAnsi="仿宋" w:eastAsia="仿宋_GB2312"/>
          <w:color w:val="000000" w:themeColor="text1"/>
          <w:sz w:val="32"/>
          <w:szCs w:val="32"/>
        </w:rPr>
        <w:t xml:space="preserve">日  </w:t>
      </w:r>
    </w:p>
    <w:p>
      <w:pPr>
        <w:keepNext w:val="0"/>
        <w:keepLines w:val="0"/>
        <w:pageBreakBefore w:val="0"/>
        <w:widowControl w:val="0"/>
        <w:kinsoku/>
        <w:wordWrap/>
        <w:overflowPunct/>
        <w:topLinePunct w:val="0"/>
        <w:autoSpaceDE/>
        <w:autoSpaceDN/>
        <w:bidi w:val="0"/>
        <w:spacing w:line="620" w:lineRule="exact"/>
        <w:textAlignment w:val="auto"/>
        <w:rPr>
          <w:rFonts w:hint="eastAsia" w:eastAsia="仿宋_GB2312"/>
          <w:color w:val="000000"/>
          <w:sz w:val="28"/>
          <w:szCs w:val="32"/>
        </w:rPr>
      </w:pPr>
    </w:p>
    <w:p>
      <w:pPr>
        <w:keepNext w:val="0"/>
        <w:keepLines w:val="0"/>
        <w:pageBreakBefore w:val="0"/>
        <w:widowControl w:val="0"/>
        <w:kinsoku/>
        <w:wordWrap/>
        <w:overflowPunct/>
        <w:topLinePunct w:val="0"/>
        <w:autoSpaceDE/>
        <w:autoSpaceDN/>
        <w:bidi w:val="0"/>
        <w:spacing w:line="620" w:lineRule="exact"/>
        <w:textAlignment w:val="auto"/>
        <w:rPr>
          <w:rFonts w:hint="eastAsia" w:eastAsia="仿宋_GB2312"/>
          <w:color w:val="000000"/>
          <w:sz w:val="28"/>
          <w:szCs w:val="32"/>
        </w:rPr>
      </w:pPr>
    </w:p>
    <w:p>
      <w:pPr>
        <w:keepNext w:val="0"/>
        <w:keepLines w:val="0"/>
        <w:pageBreakBefore w:val="0"/>
        <w:widowControl w:val="0"/>
        <w:kinsoku/>
        <w:wordWrap/>
        <w:overflowPunct/>
        <w:topLinePunct w:val="0"/>
        <w:autoSpaceDE/>
        <w:autoSpaceDN/>
        <w:bidi w:val="0"/>
        <w:spacing w:line="620" w:lineRule="exact"/>
        <w:textAlignment w:val="auto"/>
      </w:pPr>
      <w:bookmarkStart w:id="0" w:name="_GoBack"/>
      <w:bookmarkEnd w:id="0"/>
    </w:p>
    <w:sectPr>
      <w:footerReference r:id="rId3" w:type="default"/>
      <w:footerReference r:id="rId4" w:type="even"/>
      <w:pgSz w:w="11906" w:h="16838"/>
      <w:pgMar w:top="2098" w:right="1474" w:bottom="1985" w:left="1588" w:header="851" w:footer="1134"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034796"/>
      <w:docPartObj>
        <w:docPartGallery w:val="autotext"/>
      </w:docPartObj>
    </w:sdtPr>
    <w:sdtEndPr>
      <w:rPr>
        <w:rFonts w:asciiTheme="minorEastAsia" w:hAnsiTheme="minorEastAsia"/>
        <w:sz w:val="28"/>
      </w:rPr>
    </w:sdtEndPr>
    <w:sdtContent>
      <w:p>
        <w:pPr>
          <w:pStyle w:val="5"/>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3 -</w:t>
        </w:r>
        <w:r>
          <w:rPr>
            <w:rFonts w:asciiTheme="minorEastAsia" w:hAnsiTheme="minorEastAsia"/>
            <w:sz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4068186"/>
      <w:docPartObj>
        <w:docPartGallery w:val="autotext"/>
      </w:docPartObj>
    </w:sdtPr>
    <w:sdtEndPr>
      <w:rPr>
        <w:rFonts w:asciiTheme="minorEastAsia" w:hAnsiTheme="minorEastAsia"/>
        <w:sz w:val="28"/>
      </w:rPr>
    </w:sdtEndPr>
    <w:sdtContent>
      <w:p>
        <w:pPr>
          <w:pStyle w:val="5"/>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2 -</w:t>
        </w:r>
        <w:r>
          <w:rPr>
            <w:rFonts w:asciiTheme="minorEastAsia" w:hAnsiTheme="minorEastAsia"/>
            <w:sz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DB8A6"/>
    <w:multiLevelType w:val="singleLevel"/>
    <w:tmpl w:val="CFDDB8A6"/>
    <w:lvl w:ilvl="0" w:tentative="0">
      <w:start w:val="1"/>
      <w:numFmt w:val="chineseCounting"/>
      <w:suff w:val="nothing"/>
      <w:lvlText w:val="%1、"/>
      <w:lvlJc w:val="left"/>
      <w:rPr>
        <w:rFonts w:hint="eastAsia"/>
      </w:rPr>
    </w:lvl>
  </w:abstractNum>
  <w:abstractNum w:abstractNumId="1">
    <w:nsid w:val="34BE1F0F"/>
    <w:multiLevelType w:val="multilevel"/>
    <w:tmpl w:val="34BE1F0F"/>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1556"/>
    <w:rsid w:val="00011038"/>
    <w:rsid w:val="0008598F"/>
    <w:rsid w:val="00090611"/>
    <w:rsid w:val="000D3314"/>
    <w:rsid w:val="000F43FF"/>
    <w:rsid w:val="00100E84"/>
    <w:rsid w:val="00114773"/>
    <w:rsid w:val="001473C7"/>
    <w:rsid w:val="001D1702"/>
    <w:rsid w:val="001D1C39"/>
    <w:rsid w:val="001F6FD8"/>
    <w:rsid w:val="00200CB7"/>
    <w:rsid w:val="00216FD4"/>
    <w:rsid w:val="00271FAA"/>
    <w:rsid w:val="002B799E"/>
    <w:rsid w:val="002F722D"/>
    <w:rsid w:val="00331476"/>
    <w:rsid w:val="00333F9C"/>
    <w:rsid w:val="00351556"/>
    <w:rsid w:val="003E2E77"/>
    <w:rsid w:val="00414BEC"/>
    <w:rsid w:val="00451C53"/>
    <w:rsid w:val="004903D6"/>
    <w:rsid w:val="004F78C4"/>
    <w:rsid w:val="00504D03"/>
    <w:rsid w:val="00510CAA"/>
    <w:rsid w:val="0053416F"/>
    <w:rsid w:val="0059173E"/>
    <w:rsid w:val="005B05AF"/>
    <w:rsid w:val="005D7057"/>
    <w:rsid w:val="00602D8F"/>
    <w:rsid w:val="00690607"/>
    <w:rsid w:val="006D2709"/>
    <w:rsid w:val="006F17BC"/>
    <w:rsid w:val="006F74FE"/>
    <w:rsid w:val="00777EE8"/>
    <w:rsid w:val="007C5B30"/>
    <w:rsid w:val="007E2D06"/>
    <w:rsid w:val="00837C02"/>
    <w:rsid w:val="00860390"/>
    <w:rsid w:val="00872D9A"/>
    <w:rsid w:val="008930AA"/>
    <w:rsid w:val="009367A4"/>
    <w:rsid w:val="00943617"/>
    <w:rsid w:val="00974158"/>
    <w:rsid w:val="009857DF"/>
    <w:rsid w:val="00991F37"/>
    <w:rsid w:val="009E50EF"/>
    <w:rsid w:val="00A00C50"/>
    <w:rsid w:val="00A52A65"/>
    <w:rsid w:val="00A9765F"/>
    <w:rsid w:val="00AC007C"/>
    <w:rsid w:val="00AC4ACE"/>
    <w:rsid w:val="00AD17F1"/>
    <w:rsid w:val="00AD4B15"/>
    <w:rsid w:val="00AE45C5"/>
    <w:rsid w:val="00B074CE"/>
    <w:rsid w:val="00B125DF"/>
    <w:rsid w:val="00B82A2F"/>
    <w:rsid w:val="00BC20B7"/>
    <w:rsid w:val="00BD23E4"/>
    <w:rsid w:val="00C230D4"/>
    <w:rsid w:val="00C70B05"/>
    <w:rsid w:val="00C97343"/>
    <w:rsid w:val="00CB190D"/>
    <w:rsid w:val="00D02EC7"/>
    <w:rsid w:val="00D26BC3"/>
    <w:rsid w:val="00D61CDB"/>
    <w:rsid w:val="00D84313"/>
    <w:rsid w:val="00D87872"/>
    <w:rsid w:val="00DD5FA3"/>
    <w:rsid w:val="00DD7B00"/>
    <w:rsid w:val="00DE512D"/>
    <w:rsid w:val="00E43539"/>
    <w:rsid w:val="00E50161"/>
    <w:rsid w:val="00E55064"/>
    <w:rsid w:val="00E61059"/>
    <w:rsid w:val="00E675EC"/>
    <w:rsid w:val="00EC252F"/>
    <w:rsid w:val="00EC7F29"/>
    <w:rsid w:val="00EF10AE"/>
    <w:rsid w:val="00F10782"/>
    <w:rsid w:val="00F54B44"/>
    <w:rsid w:val="00F95043"/>
    <w:rsid w:val="00FA0746"/>
    <w:rsid w:val="00FA4C9D"/>
    <w:rsid w:val="00FA6DE0"/>
    <w:rsid w:val="012D32C8"/>
    <w:rsid w:val="013F1C90"/>
    <w:rsid w:val="018C5A41"/>
    <w:rsid w:val="01AD02F1"/>
    <w:rsid w:val="02140797"/>
    <w:rsid w:val="02425AB6"/>
    <w:rsid w:val="0262547D"/>
    <w:rsid w:val="02664B38"/>
    <w:rsid w:val="02687DB4"/>
    <w:rsid w:val="028B7085"/>
    <w:rsid w:val="02BE7E34"/>
    <w:rsid w:val="02D91790"/>
    <w:rsid w:val="02E7567E"/>
    <w:rsid w:val="03261AEA"/>
    <w:rsid w:val="033523BF"/>
    <w:rsid w:val="037C48C1"/>
    <w:rsid w:val="03803004"/>
    <w:rsid w:val="03B527CB"/>
    <w:rsid w:val="03ED7E3B"/>
    <w:rsid w:val="03F844D4"/>
    <w:rsid w:val="04085638"/>
    <w:rsid w:val="040D4D4F"/>
    <w:rsid w:val="04165506"/>
    <w:rsid w:val="04410073"/>
    <w:rsid w:val="04534B23"/>
    <w:rsid w:val="04704963"/>
    <w:rsid w:val="04AD1032"/>
    <w:rsid w:val="04B43B3F"/>
    <w:rsid w:val="04D018EA"/>
    <w:rsid w:val="04DF1024"/>
    <w:rsid w:val="04EE0A77"/>
    <w:rsid w:val="04F33026"/>
    <w:rsid w:val="05173A20"/>
    <w:rsid w:val="051B23CC"/>
    <w:rsid w:val="0557595D"/>
    <w:rsid w:val="05714296"/>
    <w:rsid w:val="05CC6FC1"/>
    <w:rsid w:val="05F547EA"/>
    <w:rsid w:val="060F1591"/>
    <w:rsid w:val="065166F2"/>
    <w:rsid w:val="06645B7B"/>
    <w:rsid w:val="066961F5"/>
    <w:rsid w:val="066E16CC"/>
    <w:rsid w:val="0691391D"/>
    <w:rsid w:val="070D7908"/>
    <w:rsid w:val="07292F01"/>
    <w:rsid w:val="07852251"/>
    <w:rsid w:val="079722BB"/>
    <w:rsid w:val="07B911BE"/>
    <w:rsid w:val="07BD1E3B"/>
    <w:rsid w:val="07DE2FB6"/>
    <w:rsid w:val="084C4DB8"/>
    <w:rsid w:val="085E3FAA"/>
    <w:rsid w:val="08D954E5"/>
    <w:rsid w:val="08F43B01"/>
    <w:rsid w:val="09025C61"/>
    <w:rsid w:val="092315E6"/>
    <w:rsid w:val="093115DD"/>
    <w:rsid w:val="09AE6B22"/>
    <w:rsid w:val="09CD0F38"/>
    <w:rsid w:val="09F95A84"/>
    <w:rsid w:val="0A3C0A10"/>
    <w:rsid w:val="0A4B2981"/>
    <w:rsid w:val="0A7E47F9"/>
    <w:rsid w:val="0A83776E"/>
    <w:rsid w:val="0AEF066B"/>
    <w:rsid w:val="0AFA1387"/>
    <w:rsid w:val="0B1C3F7E"/>
    <w:rsid w:val="0B31663C"/>
    <w:rsid w:val="0B625AE4"/>
    <w:rsid w:val="0B667F1F"/>
    <w:rsid w:val="0B854889"/>
    <w:rsid w:val="0B9D639A"/>
    <w:rsid w:val="0BA31E3D"/>
    <w:rsid w:val="0BB448E2"/>
    <w:rsid w:val="0BD13A18"/>
    <w:rsid w:val="0C3614A5"/>
    <w:rsid w:val="0C4E06B3"/>
    <w:rsid w:val="0C651E9E"/>
    <w:rsid w:val="0CB90532"/>
    <w:rsid w:val="0CBB5C13"/>
    <w:rsid w:val="0CD76FBB"/>
    <w:rsid w:val="0CEA07D6"/>
    <w:rsid w:val="0D0919D2"/>
    <w:rsid w:val="0D29546B"/>
    <w:rsid w:val="0D4C4322"/>
    <w:rsid w:val="0D921FC6"/>
    <w:rsid w:val="0DAB79C3"/>
    <w:rsid w:val="0DDB1842"/>
    <w:rsid w:val="0E1226B1"/>
    <w:rsid w:val="0E1845F7"/>
    <w:rsid w:val="0E511652"/>
    <w:rsid w:val="0E844875"/>
    <w:rsid w:val="0EC36C6D"/>
    <w:rsid w:val="0ECC0B20"/>
    <w:rsid w:val="0F660CCF"/>
    <w:rsid w:val="0F7755BF"/>
    <w:rsid w:val="0F836CFC"/>
    <w:rsid w:val="0F9E013E"/>
    <w:rsid w:val="0FC56AAD"/>
    <w:rsid w:val="0FE2635A"/>
    <w:rsid w:val="0FF15141"/>
    <w:rsid w:val="1007574B"/>
    <w:rsid w:val="10320228"/>
    <w:rsid w:val="10563F73"/>
    <w:rsid w:val="107F303D"/>
    <w:rsid w:val="108F44E7"/>
    <w:rsid w:val="10BA0963"/>
    <w:rsid w:val="10CB5710"/>
    <w:rsid w:val="114572FB"/>
    <w:rsid w:val="116D1836"/>
    <w:rsid w:val="119A3CD1"/>
    <w:rsid w:val="11AE49F8"/>
    <w:rsid w:val="11D623DD"/>
    <w:rsid w:val="11DA596E"/>
    <w:rsid w:val="11E4230E"/>
    <w:rsid w:val="12363AAD"/>
    <w:rsid w:val="123F315E"/>
    <w:rsid w:val="126A30D3"/>
    <w:rsid w:val="127F3932"/>
    <w:rsid w:val="12A107B8"/>
    <w:rsid w:val="12D0027B"/>
    <w:rsid w:val="12D340FD"/>
    <w:rsid w:val="12DB4326"/>
    <w:rsid w:val="12E63856"/>
    <w:rsid w:val="12F612A6"/>
    <w:rsid w:val="12FC7A30"/>
    <w:rsid w:val="13011515"/>
    <w:rsid w:val="130C2486"/>
    <w:rsid w:val="131C1644"/>
    <w:rsid w:val="133F03A9"/>
    <w:rsid w:val="1347566D"/>
    <w:rsid w:val="134F4462"/>
    <w:rsid w:val="1388098D"/>
    <w:rsid w:val="13AA0A7E"/>
    <w:rsid w:val="13AA28D2"/>
    <w:rsid w:val="13C70904"/>
    <w:rsid w:val="13C7386C"/>
    <w:rsid w:val="13F426DC"/>
    <w:rsid w:val="13FF36CC"/>
    <w:rsid w:val="141E33A2"/>
    <w:rsid w:val="145D472A"/>
    <w:rsid w:val="146C459A"/>
    <w:rsid w:val="14B01E97"/>
    <w:rsid w:val="14EA48D3"/>
    <w:rsid w:val="14FC5F4D"/>
    <w:rsid w:val="15280F0C"/>
    <w:rsid w:val="15360428"/>
    <w:rsid w:val="153E5EC4"/>
    <w:rsid w:val="15CC47F1"/>
    <w:rsid w:val="15F57E3A"/>
    <w:rsid w:val="15FF1007"/>
    <w:rsid w:val="1610085D"/>
    <w:rsid w:val="16530980"/>
    <w:rsid w:val="168668D2"/>
    <w:rsid w:val="16AA0849"/>
    <w:rsid w:val="172015B1"/>
    <w:rsid w:val="17650641"/>
    <w:rsid w:val="17B9178E"/>
    <w:rsid w:val="17C36808"/>
    <w:rsid w:val="1807468C"/>
    <w:rsid w:val="18440A57"/>
    <w:rsid w:val="184A3600"/>
    <w:rsid w:val="188462B0"/>
    <w:rsid w:val="18C5711C"/>
    <w:rsid w:val="18D21E5C"/>
    <w:rsid w:val="18FA20A6"/>
    <w:rsid w:val="192250A7"/>
    <w:rsid w:val="196E3043"/>
    <w:rsid w:val="19E25332"/>
    <w:rsid w:val="1A027562"/>
    <w:rsid w:val="1A3551BF"/>
    <w:rsid w:val="1A6A3CB2"/>
    <w:rsid w:val="1A7B540C"/>
    <w:rsid w:val="1AA75692"/>
    <w:rsid w:val="1AB545A5"/>
    <w:rsid w:val="1AEB5542"/>
    <w:rsid w:val="1B0E5B97"/>
    <w:rsid w:val="1B2542CE"/>
    <w:rsid w:val="1B840D28"/>
    <w:rsid w:val="1B9752FB"/>
    <w:rsid w:val="1BC62FC7"/>
    <w:rsid w:val="1BD03F27"/>
    <w:rsid w:val="1BEE6387"/>
    <w:rsid w:val="1BF75B6B"/>
    <w:rsid w:val="1C2D5236"/>
    <w:rsid w:val="1C590843"/>
    <w:rsid w:val="1C8C2214"/>
    <w:rsid w:val="1C981AA7"/>
    <w:rsid w:val="1C9E2B0C"/>
    <w:rsid w:val="1CC24968"/>
    <w:rsid w:val="1CD1080F"/>
    <w:rsid w:val="1CED337D"/>
    <w:rsid w:val="1D14781E"/>
    <w:rsid w:val="1D170F21"/>
    <w:rsid w:val="1D1B0E9C"/>
    <w:rsid w:val="1D1E598D"/>
    <w:rsid w:val="1D436679"/>
    <w:rsid w:val="1D732E8A"/>
    <w:rsid w:val="1D795D3A"/>
    <w:rsid w:val="1D8F3B25"/>
    <w:rsid w:val="1DB36E6F"/>
    <w:rsid w:val="1DDC47D4"/>
    <w:rsid w:val="1DE038F8"/>
    <w:rsid w:val="1E0E4A99"/>
    <w:rsid w:val="1E2C0027"/>
    <w:rsid w:val="1E3F0A8F"/>
    <w:rsid w:val="1E9037EB"/>
    <w:rsid w:val="1ED023E3"/>
    <w:rsid w:val="1F1F34AE"/>
    <w:rsid w:val="1F466AE3"/>
    <w:rsid w:val="1F6B349F"/>
    <w:rsid w:val="1F70123E"/>
    <w:rsid w:val="1F756FDD"/>
    <w:rsid w:val="1FDD7BFD"/>
    <w:rsid w:val="1FF13BE7"/>
    <w:rsid w:val="20201FBC"/>
    <w:rsid w:val="202C09F4"/>
    <w:rsid w:val="2037526B"/>
    <w:rsid w:val="20547E7B"/>
    <w:rsid w:val="20A45D45"/>
    <w:rsid w:val="20DD74DA"/>
    <w:rsid w:val="217912B0"/>
    <w:rsid w:val="217A73FB"/>
    <w:rsid w:val="21BE3CE4"/>
    <w:rsid w:val="21EB4E7F"/>
    <w:rsid w:val="21F93CC2"/>
    <w:rsid w:val="22283AF7"/>
    <w:rsid w:val="224507FD"/>
    <w:rsid w:val="23173C97"/>
    <w:rsid w:val="236036E6"/>
    <w:rsid w:val="237D33B6"/>
    <w:rsid w:val="238C38C5"/>
    <w:rsid w:val="2396747E"/>
    <w:rsid w:val="23982185"/>
    <w:rsid w:val="23EB63DD"/>
    <w:rsid w:val="242531C0"/>
    <w:rsid w:val="24301666"/>
    <w:rsid w:val="24334667"/>
    <w:rsid w:val="24393648"/>
    <w:rsid w:val="245D665E"/>
    <w:rsid w:val="24955F38"/>
    <w:rsid w:val="24C8480D"/>
    <w:rsid w:val="24E60FE7"/>
    <w:rsid w:val="2530325E"/>
    <w:rsid w:val="254D09FE"/>
    <w:rsid w:val="25AC0AC3"/>
    <w:rsid w:val="25F50DAC"/>
    <w:rsid w:val="2605113C"/>
    <w:rsid w:val="260860F9"/>
    <w:rsid w:val="262405ED"/>
    <w:rsid w:val="263812C6"/>
    <w:rsid w:val="2659675D"/>
    <w:rsid w:val="26ED0FCF"/>
    <w:rsid w:val="271C43AB"/>
    <w:rsid w:val="27312882"/>
    <w:rsid w:val="27940885"/>
    <w:rsid w:val="27C66D83"/>
    <w:rsid w:val="27CF00B3"/>
    <w:rsid w:val="280476BE"/>
    <w:rsid w:val="289647BE"/>
    <w:rsid w:val="28D16808"/>
    <w:rsid w:val="29324007"/>
    <w:rsid w:val="299F6CD6"/>
    <w:rsid w:val="29AE4BE4"/>
    <w:rsid w:val="2A0D3B3C"/>
    <w:rsid w:val="2A1934CE"/>
    <w:rsid w:val="2A4D269C"/>
    <w:rsid w:val="2A820899"/>
    <w:rsid w:val="2AB15182"/>
    <w:rsid w:val="2B050D8C"/>
    <w:rsid w:val="2B290332"/>
    <w:rsid w:val="2B2D2DF5"/>
    <w:rsid w:val="2B2E4522"/>
    <w:rsid w:val="2B3D25CE"/>
    <w:rsid w:val="2B9B597A"/>
    <w:rsid w:val="2BC02A7E"/>
    <w:rsid w:val="2C0C63D6"/>
    <w:rsid w:val="2C174590"/>
    <w:rsid w:val="2C214F4E"/>
    <w:rsid w:val="2C292B7E"/>
    <w:rsid w:val="2C4F36C3"/>
    <w:rsid w:val="2C572459"/>
    <w:rsid w:val="2C692A75"/>
    <w:rsid w:val="2C80797D"/>
    <w:rsid w:val="2C810266"/>
    <w:rsid w:val="2C95502B"/>
    <w:rsid w:val="2D1F426E"/>
    <w:rsid w:val="2D385F35"/>
    <w:rsid w:val="2D525DB1"/>
    <w:rsid w:val="2D983DD8"/>
    <w:rsid w:val="2DE247BD"/>
    <w:rsid w:val="2DF31731"/>
    <w:rsid w:val="2E03486A"/>
    <w:rsid w:val="2E322DAA"/>
    <w:rsid w:val="2E3D01DE"/>
    <w:rsid w:val="2E4E65C8"/>
    <w:rsid w:val="2E9D5B04"/>
    <w:rsid w:val="2EC55A46"/>
    <w:rsid w:val="2EE1703D"/>
    <w:rsid w:val="2EEC4514"/>
    <w:rsid w:val="2F3C5B54"/>
    <w:rsid w:val="2FFE5E2E"/>
    <w:rsid w:val="301770DC"/>
    <w:rsid w:val="30574322"/>
    <w:rsid w:val="30745FF7"/>
    <w:rsid w:val="30CF33C0"/>
    <w:rsid w:val="30E2269B"/>
    <w:rsid w:val="30E831AF"/>
    <w:rsid w:val="30F07763"/>
    <w:rsid w:val="310F3196"/>
    <w:rsid w:val="314601D5"/>
    <w:rsid w:val="319E529C"/>
    <w:rsid w:val="31A34114"/>
    <w:rsid w:val="31A773B9"/>
    <w:rsid w:val="31C26B37"/>
    <w:rsid w:val="31CA5D2A"/>
    <w:rsid w:val="31EB74A4"/>
    <w:rsid w:val="31EF1195"/>
    <w:rsid w:val="320145A5"/>
    <w:rsid w:val="322B1034"/>
    <w:rsid w:val="32615409"/>
    <w:rsid w:val="326179AD"/>
    <w:rsid w:val="326A100B"/>
    <w:rsid w:val="32877E1B"/>
    <w:rsid w:val="32D3618F"/>
    <w:rsid w:val="33106B2C"/>
    <w:rsid w:val="33480A20"/>
    <w:rsid w:val="33654D4C"/>
    <w:rsid w:val="33762E69"/>
    <w:rsid w:val="33B70370"/>
    <w:rsid w:val="33CC0B3E"/>
    <w:rsid w:val="33DC2DE9"/>
    <w:rsid w:val="33E65CCB"/>
    <w:rsid w:val="33E931CF"/>
    <w:rsid w:val="33F11AF4"/>
    <w:rsid w:val="33F263BA"/>
    <w:rsid w:val="3434101B"/>
    <w:rsid w:val="34406160"/>
    <w:rsid w:val="345A3719"/>
    <w:rsid w:val="346565C6"/>
    <w:rsid w:val="347A59D4"/>
    <w:rsid w:val="347F5D69"/>
    <w:rsid w:val="34BC45C7"/>
    <w:rsid w:val="34E71A00"/>
    <w:rsid w:val="351060E2"/>
    <w:rsid w:val="35255446"/>
    <w:rsid w:val="352A39DC"/>
    <w:rsid w:val="353823FD"/>
    <w:rsid w:val="354F3190"/>
    <w:rsid w:val="359E3536"/>
    <w:rsid w:val="360C0718"/>
    <w:rsid w:val="362B7EFC"/>
    <w:rsid w:val="36411523"/>
    <w:rsid w:val="36650D17"/>
    <w:rsid w:val="3670380D"/>
    <w:rsid w:val="36927922"/>
    <w:rsid w:val="369B4D0F"/>
    <w:rsid w:val="36C82752"/>
    <w:rsid w:val="36CB6521"/>
    <w:rsid w:val="36EE4414"/>
    <w:rsid w:val="3707522C"/>
    <w:rsid w:val="376938D9"/>
    <w:rsid w:val="37727F5F"/>
    <w:rsid w:val="37756B49"/>
    <w:rsid w:val="37771BF7"/>
    <w:rsid w:val="37D84A90"/>
    <w:rsid w:val="37F92030"/>
    <w:rsid w:val="387633A0"/>
    <w:rsid w:val="39473A2E"/>
    <w:rsid w:val="396E76E6"/>
    <w:rsid w:val="39AE40CD"/>
    <w:rsid w:val="39DE1B1D"/>
    <w:rsid w:val="39E36D81"/>
    <w:rsid w:val="39E67368"/>
    <w:rsid w:val="3A0E53B6"/>
    <w:rsid w:val="3A215AAA"/>
    <w:rsid w:val="3ADF5CFD"/>
    <w:rsid w:val="3AE46CA7"/>
    <w:rsid w:val="3AF85D7C"/>
    <w:rsid w:val="3B151A20"/>
    <w:rsid w:val="3B2667F4"/>
    <w:rsid w:val="3B8E06C1"/>
    <w:rsid w:val="3BDA08B2"/>
    <w:rsid w:val="3BE04E55"/>
    <w:rsid w:val="3BEA1C6D"/>
    <w:rsid w:val="3BF05FCE"/>
    <w:rsid w:val="3C064CCA"/>
    <w:rsid w:val="3C085E14"/>
    <w:rsid w:val="3C783730"/>
    <w:rsid w:val="3C87219B"/>
    <w:rsid w:val="3CB7130D"/>
    <w:rsid w:val="3CBA58F9"/>
    <w:rsid w:val="3CE24A4D"/>
    <w:rsid w:val="3D051A93"/>
    <w:rsid w:val="3D2839C7"/>
    <w:rsid w:val="3D2A1377"/>
    <w:rsid w:val="3D2B20FC"/>
    <w:rsid w:val="3DF855E5"/>
    <w:rsid w:val="3E4E09B1"/>
    <w:rsid w:val="3E774AE1"/>
    <w:rsid w:val="3E96337F"/>
    <w:rsid w:val="3EAF7C1A"/>
    <w:rsid w:val="3EB20159"/>
    <w:rsid w:val="3F520FF5"/>
    <w:rsid w:val="3F76223E"/>
    <w:rsid w:val="3F834D6F"/>
    <w:rsid w:val="3F8451D3"/>
    <w:rsid w:val="3F931E62"/>
    <w:rsid w:val="3FA33AE8"/>
    <w:rsid w:val="3FB43BF8"/>
    <w:rsid w:val="401B1148"/>
    <w:rsid w:val="402E03D5"/>
    <w:rsid w:val="40302014"/>
    <w:rsid w:val="407852CA"/>
    <w:rsid w:val="407D5442"/>
    <w:rsid w:val="40936B11"/>
    <w:rsid w:val="40CA5F11"/>
    <w:rsid w:val="40DC6EE8"/>
    <w:rsid w:val="40E60695"/>
    <w:rsid w:val="40FD30A5"/>
    <w:rsid w:val="410E4D7F"/>
    <w:rsid w:val="41435BF3"/>
    <w:rsid w:val="41610CED"/>
    <w:rsid w:val="416D3B6B"/>
    <w:rsid w:val="41923441"/>
    <w:rsid w:val="41965913"/>
    <w:rsid w:val="419A6028"/>
    <w:rsid w:val="41B749F4"/>
    <w:rsid w:val="41C06BAD"/>
    <w:rsid w:val="41DC2322"/>
    <w:rsid w:val="41ED4166"/>
    <w:rsid w:val="421B45DA"/>
    <w:rsid w:val="424B0C8E"/>
    <w:rsid w:val="425E1453"/>
    <w:rsid w:val="42695818"/>
    <w:rsid w:val="429F2FD3"/>
    <w:rsid w:val="42AC4914"/>
    <w:rsid w:val="42E455EF"/>
    <w:rsid w:val="42F92909"/>
    <w:rsid w:val="430759C2"/>
    <w:rsid w:val="43103D2D"/>
    <w:rsid w:val="431E054A"/>
    <w:rsid w:val="432244CB"/>
    <w:rsid w:val="43302E57"/>
    <w:rsid w:val="434419B4"/>
    <w:rsid w:val="43E41720"/>
    <w:rsid w:val="4483453D"/>
    <w:rsid w:val="44993EF2"/>
    <w:rsid w:val="449B23B2"/>
    <w:rsid w:val="44BD7F9D"/>
    <w:rsid w:val="450D655E"/>
    <w:rsid w:val="46145071"/>
    <w:rsid w:val="462860AA"/>
    <w:rsid w:val="4648244E"/>
    <w:rsid w:val="466F1DBE"/>
    <w:rsid w:val="467F4423"/>
    <w:rsid w:val="4682164E"/>
    <w:rsid w:val="471C5BD5"/>
    <w:rsid w:val="472F3023"/>
    <w:rsid w:val="473676E9"/>
    <w:rsid w:val="474412B0"/>
    <w:rsid w:val="478270CC"/>
    <w:rsid w:val="47CF0F1A"/>
    <w:rsid w:val="47DD4E33"/>
    <w:rsid w:val="47E61F23"/>
    <w:rsid w:val="47FA2B56"/>
    <w:rsid w:val="48053344"/>
    <w:rsid w:val="48736B5C"/>
    <w:rsid w:val="488C244F"/>
    <w:rsid w:val="48932390"/>
    <w:rsid w:val="48C3702E"/>
    <w:rsid w:val="49051325"/>
    <w:rsid w:val="49472A13"/>
    <w:rsid w:val="49857FB1"/>
    <w:rsid w:val="498B1067"/>
    <w:rsid w:val="49AE4331"/>
    <w:rsid w:val="4A262F08"/>
    <w:rsid w:val="4A370171"/>
    <w:rsid w:val="4A845E41"/>
    <w:rsid w:val="4AA006AA"/>
    <w:rsid w:val="4AA426BF"/>
    <w:rsid w:val="4AB37DA3"/>
    <w:rsid w:val="4ABC270B"/>
    <w:rsid w:val="4AD96BFE"/>
    <w:rsid w:val="4ADD1EFE"/>
    <w:rsid w:val="4B6D2B91"/>
    <w:rsid w:val="4B716D1D"/>
    <w:rsid w:val="4B8334B7"/>
    <w:rsid w:val="4B9E4523"/>
    <w:rsid w:val="4BC80357"/>
    <w:rsid w:val="4BD90161"/>
    <w:rsid w:val="4BE15157"/>
    <w:rsid w:val="4C000361"/>
    <w:rsid w:val="4C1377B8"/>
    <w:rsid w:val="4C421543"/>
    <w:rsid w:val="4C513544"/>
    <w:rsid w:val="4CDB5BF1"/>
    <w:rsid w:val="4D317577"/>
    <w:rsid w:val="4D457BD9"/>
    <w:rsid w:val="4D8A5868"/>
    <w:rsid w:val="4DA222AD"/>
    <w:rsid w:val="4DCA4C5B"/>
    <w:rsid w:val="4E0B238F"/>
    <w:rsid w:val="4E475105"/>
    <w:rsid w:val="4F172199"/>
    <w:rsid w:val="4F6001B6"/>
    <w:rsid w:val="4F6266CA"/>
    <w:rsid w:val="4F986540"/>
    <w:rsid w:val="504F1271"/>
    <w:rsid w:val="506221BF"/>
    <w:rsid w:val="507A6E4C"/>
    <w:rsid w:val="50D15166"/>
    <w:rsid w:val="50D50B39"/>
    <w:rsid w:val="51083BA3"/>
    <w:rsid w:val="512D7788"/>
    <w:rsid w:val="51532918"/>
    <w:rsid w:val="51540A9B"/>
    <w:rsid w:val="5157278E"/>
    <w:rsid w:val="517F3D1E"/>
    <w:rsid w:val="518C1BFF"/>
    <w:rsid w:val="51BC4186"/>
    <w:rsid w:val="523F3117"/>
    <w:rsid w:val="52412A20"/>
    <w:rsid w:val="525514CC"/>
    <w:rsid w:val="528B4BEA"/>
    <w:rsid w:val="52C51E8E"/>
    <w:rsid w:val="530158E2"/>
    <w:rsid w:val="530E28B5"/>
    <w:rsid w:val="532715D2"/>
    <w:rsid w:val="533864B0"/>
    <w:rsid w:val="533B069A"/>
    <w:rsid w:val="537831AB"/>
    <w:rsid w:val="538B0B2F"/>
    <w:rsid w:val="539F0E47"/>
    <w:rsid w:val="53A86936"/>
    <w:rsid w:val="53AD3DE3"/>
    <w:rsid w:val="53F12EC2"/>
    <w:rsid w:val="53F95DE6"/>
    <w:rsid w:val="541501CF"/>
    <w:rsid w:val="54412BC6"/>
    <w:rsid w:val="5468400B"/>
    <w:rsid w:val="549B5C6D"/>
    <w:rsid w:val="54AA090E"/>
    <w:rsid w:val="54B07733"/>
    <w:rsid w:val="54F45913"/>
    <w:rsid w:val="55111607"/>
    <w:rsid w:val="55143B08"/>
    <w:rsid w:val="551530CF"/>
    <w:rsid w:val="551772BE"/>
    <w:rsid w:val="558B401E"/>
    <w:rsid w:val="559C5CEB"/>
    <w:rsid w:val="55B30F02"/>
    <w:rsid w:val="55F5003F"/>
    <w:rsid w:val="5613674B"/>
    <w:rsid w:val="5647461A"/>
    <w:rsid w:val="5654055D"/>
    <w:rsid w:val="56581059"/>
    <w:rsid w:val="566C5004"/>
    <w:rsid w:val="56880282"/>
    <w:rsid w:val="56E032EC"/>
    <w:rsid w:val="56FA0DC3"/>
    <w:rsid w:val="56FD5A73"/>
    <w:rsid w:val="570047F0"/>
    <w:rsid w:val="57224837"/>
    <w:rsid w:val="57270903"/>
    <w:rsid w:val="57280088"/>
    <w:rsid w:val="573B1D1C"/>
    <w:rsid w:val="57492EEF"/>
    <w:rsid w:val="575D7C0C"/>
    <w:rsid w:val="576273FB"/>
    <w:rsid w:val="57A01089"/>
    <w:rsid w:val="57D766E1"/>
    <w:rsid w:val="581C2B5B"/>
    <w:rsid w:val="58280FFB"/>
    <w:rsid w:val="5839435A"/>
    <w:rsid w:val="588F4EB1"/>
    <w:rsid w:val="589A3815"/>
    <w:rsid w:val="58D87258"/>
    <w:rsid w:val="58E33EA7"/>
    <w:rsid w:val="59413675"/>
    <w:rsid w:val="5989011F"/>
    <w:rsid w:val="598F1C9C"/>
    <w:rsid w:val="59D01C7D"/>
    <w:rsid w:val="59EE4A01"/>
    <w:rsid w:val="5A7D12DB"/>
    <w:rsid w:val="5A8B71C2"/>
    <w:rsid w:val="5A93550D"/>
    <w:rsid w:val="5AC21D97"/>
    <w:rsid w:val="5AF64C2A"/>
    <w:rsid w:val="5B104CB0"/>
    <w:rsid w:val="5B4F54A2"/>
    <w:rsid w:val="5B664750"/>
    <w:rsid w:val="5B835A63"/>
    <w:rsid w:val="5B87663C"/>
    <w:rsid w:val="5B985C9A"/>
    <w:rsid w:val="5B995790"/>
    <w:rsid w:val="5BB51B39"/>
    <w:rsid w:val="5BCC10C3"/>
    <w:rsid w:val="5BF1458A"/>
    <w:rsid w:val="5C073B0E"/>
    <w:rsid w:val="5C270654"/>
    <w:rsid w:val="5C3135C5"/>
    <w:rsid w:val="5C3B31A2"/>
    <w:rsid w:val="5CBC0F78"/>
    <w:rsid w:val="5CBE4D55"/>
    <w:rsid w:val="5D823353"/>
    <w:rsid w:val="5D9B2A31"/>
    <w:rsid w:val="5DA202E4"/>
    <w:rsid w:val="5DB763CB"/>
    <w:rsid w:val="5DD708C8"/>
    <w:rsid w:val="5DE40325"/>
    <w:rsid w:val="5E700C8C"/>
    <w:rsid w:val="5E811627"/>
    <w:rsid w:val="5E9D4362"/>
    <w:rsid w:val="5EDD6EB7"/>
    <w:rsid w:val="5F4B5981"/>
    <w:rsid w:val="5F844226"/>
    <w:rsid w:val="5FB55E60"/>
    <w:rsid w:val="5FBE092C"/>
    <w:rsid w:val="60045361"/>
    <w:rsid w:val="60284579"/>
    <w:rsid w:val="60395975"/>
    <w:rsid w:val="605E2E4F"/>
    <w:rsid w:val="606F56BB"/>
    <w:rsid w:val="607C6E14"/>
    <w:rsid w:val="60960CCF"/>
    <w:rsid w:val="60CC13A9"/>
    <w:rsid w:val="60FE18B1"/>
    <w:rsid w:val="61854CE7"/>
    <w:rsid w:val="623227A0"/>
    <w:rsid w:val="6261450D"/>
    <w:rsid w:val="62BB1FB8"/>
    <w:rsid w:val="62C028E2"/>
    <w:rsid w:val="631A3483"/>
    <w:rsid w:val="63AF7A51"/>
    <w:rsid w:val="63B15F3C"/>
    <w:rsid w:val="63C66A4A"/>
    <w:rsid w:val="63D304BE"/>
    <w:rsid w:val="63F64846"/>
    <w:rsid w:val="641342BC"/>
    <w:rsid w:val="64226CD2"/>
    <w:rsid w:val="647857DA"/>
    <w:rsid w:val="64B0728C"/>
    <w:rsid w:val="64D92145"/>
    <w:rsid w:val="650138FD"/>
    <w:rsid w:val="65426B56"/>
    <w:rsid w:val="656104CC"/>
    <w:rsid w:val="658267E5"/>
    <w:rsid w:val="659C1CE9"/>
    <w:rsid w:val="65D7515E"/>
    <w:rsid w:val="65E0607E"/>
    <w:rsid w:val="65EA684D"/>
    <w:rsid w:val="66426B4B"/>
    <w:rsid w:val="66673ACE"/>
    <w:rsid w:val="666B3B7F"/>
    <w:rsid w:val="66982262"/>
    <w:rsid w:val="66DE2608"/>
    <w:rsid w:val="66EC1B8B"/>
    <w:rsid w:val="66FB600E"/>
    <w:rsid w:val="671835A8"/>
    <w:rsid w:val="674E1056"/>
    <w:rsid w:val="674F1217"/>
    <w:rsid w:val="67577734"/>
    <w:rsid w:val="67661AB9"/>
    <w:rsid w:val="67E61AAB"/>
    <w:rsid w:val="68022178"/>
    <w:rsid w:val="68080BAD"/>
    <w:rsid w:val="68245873"/>
    <w:rsid w:val="68304706"/>
    <w:rsid w:val="683538DD"/>
    <w:rsid w:val="6840688B"/>
    <w:rsid w:val="685742A8"/>
    <w:rsid w:val="6869581D"/>
    <w:rsid w:val="68D04C18"/>
    <w:rsid w:val="68DA73D3"/>
    <w:rsid w:val="68DD2A5F"/>
    <w:rsid w:val="68FF6A21"/>
    <w:rsid w:val="69015CAE"/>
    <w:rsid w:val="69053D2C"/>
    <w:rsid w:val="699957BA"/>
    <w:rsid w:val="69D431F4"/>
    <w:rsid w:val="69DA7892"/>
    <w:rsid w:val="69DD5CAA"/>
    <w:rsid w:val="69E54B51"/>
    <w:rsid w:val="69FE7A5D"/>
    <w:rsid w:val="6A0A0B1C"/>
    <w:rsid w:val="6A1E6794"/>
    <w:rsid w:val="6A271D73"/>
    <w:rsid w:val="6A2A05B6"/>
    <w:rsid w:val="6A916296"/>
    <w:rsid w:val="6B273DBE"/>
    <w:rsid w:val="6B274E12"/>
    <w:rsid w:val="6BCE441B"/>
    <w:rsid w:val="6C182F7D"/>
    <w:rsid w:val="6C4D760D"/>
    <w:rsid w:val="6C5710C0"/>
    <w:rsid w:val="6C8A3782"/>
    <w:rsid w:val="6CE77548"/>
    <w:rsid w:val="6D3C7A0F"/>
    <w:rsid w:val="6D513397"/>
    <w:rsid w:val="6D5815D7"/>
    <w:rsid w:val="6D93149C"/>
    <w:rsid w:val="6D9775AA"/>
    <w:rsid w:val="6DE67F5C"/>
    <w:rsid w:val="6E11384E"/>
    <w:rsid w:val="6E14218B"/>
    <w:rsid w:val="6E31433B"/>
    <w:rsid w:val="6E445532"/>
    <w:rsid w:val="6E66291E"/>
    <w:rsid w:val="6E810A08"/>
    <w:rsid w:val="6E891C3F"/>
    <w:rsid w:val="6EA7259F"/>
    <w:rsid w:val="6EE4357D"/>
    <w:rsid w:val="6F575B95"/>
    <w:rsid w:val="6F853DD5"/>
    <w:rsid w:val="6FB72E1A"/>
    <w:rsid w:val="6FC62472"/>
    <w:rsid w:val="70130AB4"/>
    <w:rsid w:val="701E7EC1"/>
    <w:rsid w:val="70260177"/>
    <w:rsid w:val="705B3FB6"/>
    <w:rsid w:val="70640096"/>
    <w:rsid w:val="70E12B31"/>
    <w:rsid w:val="713274AD"/>
    <w:rsid w:val="71833CFC"/>
    <w:rsid w:val="72395A57"/>
    <w:rsid w:val="72A0286F"/>
    <w:rsid w:val="72A1671D"/>
    <w:rsid w:val="72AC70F2"/>
    <w:rsid w:val="72F32DB2"/>
    <w:rsid w:val="731A0C54"/>
    <w:rsid w:val="7336170F"/>
    <w:rsid w:val="734F4263"/>
    <w:rsid w:val="735F78EE"/>
    <w:rsid w:val="73A81B82"/>
    <w:rsid w:val="73DA6401"/>
    <w:rsid w:val="74516D08"/>
    <w:rsid w:val="747040D7"/>
    <w:rsid w:val="747804C5"/>
    <w:rsid w:val="74971A7C"/>
    <w:rsid w:val="749B6AE9"/>
    <w:rsid w:val="74B241A8"/>
    <w:rsid w:val="75055102"/>
    <w:rsid w:val="75A21079"/>
    <w:rsid w:val="75D618CA"/>
    <w:rsid w:val="75F00886"/>
    <w:rsid w:val="760637A0"/>
    <w:rsid w:val="7609368C"/>
    <w:rsid w:val="761B0EA9"/>
    <w:rsid w:val="763C3A7B"/>
    <w:rsid w:val="763E4F93"/>
    <w:rsid w:val="76943483"/>
    <w:rsid w:val="777C4681"/>
    <w:rsid w:val="77B336C3"/>
    <w:rsid w:val="77E62B8D"/>
    <w:rsid w:val="77FB30C8"/>
    <w:rsid w:val="78344CA2"/>
    <w:rsid w:val="78945154"/>
    <w:rsid w:val="78E749EA"/>
    <w:rsid w:val="78F44901"/>
    <w:rsid w:val="790F6F55"/>
    <w:rsid w:val="792A1026"/>
    <w:rsid w:val="79364BC5"/>
    <w:rsid w:val="79464CA8"/>
    <w:rsid w:val="79631FEB"/>
    <w:rsid w:val="797A013C"/>
    <w:rsid w:val="797A45DD"/>
    <w:rsid w:val="79874622"/>
    <w:rsid w:val="79A17319"/>
    <w:rsid w:val="7A1A2620"/>
    <w:rsid w:val="7A4606D4"/>
    <w:rsid w:val="7A49287A"/>
    <w:rsid w:val="7A7845A6"/>
    <w:rsid w:val="7A822F00"/>
    <w:rsid w:val="7AFB1BAC"/>
    <w:rsid w:val="7B0073B9"/>
    <w:rsid w:val="7B1D2181"/>
    <w:rsid w:val="7B34101A"/>
    <w:rsid w:val="7B3700B7"/>
    <w:rsid w:val="7BA9731D"/>
    <w:rsid w:val="7BFA55C2"/>
    <w:rsid w:val="7C1B3072"/>
    <w:rsid w:val="7C453913"/>
    <w:rsid w:val="7C482A39"/>
    <w:rsid w:val="7CD92468"/>
    <w:rsid w:val="7D391162"/>
    <w:rsid w:val="7D540515"/>
    <w:rsid w:val="7DE1171C"/>
    <w:rsid w:val="7E200538"/>
    <w:rsid w:val="7E4F2587"/>
    <w:rsid w:val="7E620FC7"/>
    <w:rsid w:val="7E8632ED"/>
    <w:rsid w:val="7ED83D0D"/>
    <w:rsid w:val="7F14573D"/>
    <w:rsid w:val="7F46632B"/>
    <w:rsid w:val="7F5C44CB"/>
    <w:rsid w:val="7F6D2CA2"/>
    <w:rsid w:val="7F8F318F"/>
    <w:rsid w:val="7FA5483A"/>
    <w:rsid w:val="7FF22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风评表头"/>
    <w:basedOn w:val="1"/>
    <w:next w:val="1"/>
    <w:qFormat/>
    <w:uiPriority w:val="0"/>
    <w:pPr>
      <w:spacing w:beforeLines="100"/>
      <w:jc w:val="center"/>
    </w:pPr>
    <w:rPr>
      <w:rFonts w:eastAsia="黑体"/>
      <w:b/>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DFBCE-943D-4037-8B5F-10814B4D61CF}">
  <ds:schemaRefs/>
</ds:datastoreItem>
</file>

<file path=docProps/app.xml><?xml version="1.0" encoding="utf-8"?>
<Properties xmlns="http://schemas.openxmlformats.org/officeDocument/2006/extended-properties" xmlns:vt="http://schemas.openxmlformats.org/officeDocument/2006/docPropsVTypes">
  <Template>Normal</Template>
  <Company>A</Company>
  <Pages>5</Pages>
  <Words>1748</Words>
  <Characters>1941</Characters>
  <Lines>8</Lines>
  <Paragraphs>2</Paragraphs>
  <TotalTime>72</TotalTime>
  <ScaleCrop>false</ScaleCrop>
  <LinksUpToDate>false</LinksUpToDate>
  <CharactersWithSpaces>1967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2020-01-19T05:39:00Z</dcterms:created>
  <dc:creator>cuijie</dc:creator>
  <cp:lastModifiedBy>水笔仔</cp:lastModifiedBy>
  <cp:lastPrinted>2023-06-16T06:03:00Z</cp:lastPrinted>
  <dcterms:modified xsi:type="dcterms:W3CDTF">2023-06-25T07:52:57Z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